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5A8DFD" w14:textId="77777777" w:rsidR="009D1BFC" w:rsidRPr="00691113" w:rsidRDefault="009D1BFC" w:rsidP="008946C7">
      <w:pPr>
        <w:autoSpaceDE w:val="0"/>
        <w:autoSpaceDN w:val="0"/>
        <w:adjustRightInd w:val="0"/>
        <w:jc w:val="center"/>
        <w:rPr>
          <w:rFonts w:eastAsia="Calibri"/>
          <w:lang w:val="en-US"/>
        </w:rPr>
      </w:pPr>
      <w:bookmarkStart w:id="0" w:name="_Hlk487716279"/>
      <w:bookmarkStart w:id="1" w:name="_Hlk484291684"/>
      <w:bookmarkEnd w:id="0"/>
    </w:p>
    <w:p w14:paraId="7005DE53" w14:textId="77777777" w:rsidR="008946C7" w:rsidRPr="00C73CE0" w:rsidRDefault="008946C7" w:rsidP="008946C7">
      <w:pPr>
        <w:autoSpaceDE w:val="0"/>
        <w:autoSpaceDN w:val="0"/>
        <w:adjustRightInd w:val="0"/>
        <w:jc w:val="center"/>
        <w:rPr>
          <w:rFonts w:eastAsia="Calibri"/>
        </w:rPr>
      </w:pPr>
      <w:r w:rsidRPr="00C73CE0">
        <w:rPr>
          <w:rFonts w:eastAsia="Calibri"/>
          <w:noProof/>
          <w:lang w:val="el-GR" w:eastAsia="el-GR"/>
        </w:rPr>
        <w:drawing>
          <wp:inline distT="0" distB="0" distL="0" distR="0" wp14:anchorId="76240FA5" wp14:editId="607935FC">
            <wp:extent cx="1288112" cy="1288112"/>
            <wp:effectExtent l="0" t="0" r="0" b="0"/>
            <wp:docPr id="8" name="4 - Εικόνα" descr="Logo_TEIofEpir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TEIofEpirus.jpg"/>
                    <pic:cNvPicPr/>
                  </pic:nvPicPr>
                  <pic:blipFill>
                    <a:blip r:embed="rId8" cstate="print"/>
                    <a:stretch>
                      <a:fillRect/>
                    </a:stretch>
                  </pic:blipFill>
                  <pic:spPr>
                    <a:xfrm>
                      <a:off x="0" y="0"/>
                      <a:ext cx="1285876" cy="1285876"/>
                    </a:xfrm>
                    <a:prstGeom prst="rect">
                      <a:avLst/>
                    </a:prstGeom>
                  </pic:spPr>
                </pic:pic>
              </a:graphicData>
            </a:graphic>
          </wp:inline>
        </w:drawing>
      </w:r>
    </w:p>
    <w:p w14:paraId="2C2F17EE" w14:textId="77777777" w:rsidR="002A35F7" w:rsidRDefault="002A35F7" w:rsidP="008946C7">
      <w:pPr>
        <w:autoSpaceDE w:val="0"/>
        <w:autoSpaceDN w:val="0"/>
        <w:adjustRightInd w:val="0"/>
        <w:spacing w:line="360" w:lineRule="auto"/>
        <w:jc w:val="center"/>
        <w:rPr>
          <w:rFonts w:eastAsia="Calibri"/>
          <w:sz w:val="36"/>
          <w:szCs w:val="36"/>
        </w:rPr>
      </w:pPr>
    </w:p>
    <w:p w14:paraId="25B5D004" w14:textId="77777777" w:rsidR="008946C7" w:rsidRPr="00F446F6" w:rsidRDefault="008946C7" w:rsidP="008946C7">
      <w:pPr>
        <w:autoSpaceDE w:val="0"/>
        <w:autoSpaceDN w:val="0"/>
        <w:adjustRightInd w:val="0"/>
        <w:spacing w:line="360" w:lineRule="auto"/>
        <w:jc w:val="center"/>
        <w:rPr>
          <w:rFonts w:eastAsia="Calibri"/>
          <w:sz w:val="36"/>
          <w:szCs w:val="36"/>
          <w:lang w:val="el-GR"/>
        </w:rPr>
      </w:pPr>
      <w:r w:rsidRPr="00F446F6">
        <w:rPr>
          <w:rFonts w:eastAsia="Calibri"/>
          <w:sz w:val="36"/>
          <w:szCs w:val="36"/>
          <w:lang w:val="el-GR"/>
        </w:rPr>
        <w:t>ΤΕΙ ΗΠΕΙΡΟΥ</w:t>
      </w:r>
    </w:p>
    <w:p w14:paraId="4AF9F907" w14:textId="77777777" w:rsidR="008946C7" w:rsidRPr="00F446F6" w:rsidRDefault="008946C7" w:rsidP="008946C7">
      <w:pPr>
        <w:autoSpaceDE w:val="0"/>
        <w:autoSpaceDN w:val="0"/>
        <w:adjustRightInd w:val="0"/>
        <w:spacing w:line="360" w:lineRule="auto"/>
        <w:jc w:val="center"/>
        <w:rPr>
          <w:rFonts w:eastAsia="Calibri"/>
          <w:sz w:val="36"/>
          <w:szCs w:val="36"/>
          <w:lang w:val="el-GR"/>
        </w:rPr>
      </w:pPr>
      <w:r w:rsidRPr="00F446F6">
        <w:rPr>
          <w:rFonts w:eastAsia="Calibri"/>
          <w:sz w:val="36"/>
          <w:szCs w:val="36"/>
          <w:lang w:val="el-GR"/>
        </w:rPr>
        <w:t xml:space="preserve">ΣΧΟΛΗ ΕΠΑΓΓΕΛΜΑΤΩΝ ΥΓΕΙΑΣ ΚΑΙ ΠΡΟΝΟΙΑΣ </w:t>
      </w:r>
    </w:p>
    <w:p w14:paraId="72D357A2" w14:textId="77777777" w:rsidR="008946C7" w:rsidRPr="00F446F6" w:rsidRDefault="008946C7" w:rsidP="008946C7">
      <w:pPr>
        <w:autoSpaceDE w:val="0"/>
        <w:autoSpaceDN w:val="0"/>
        <w:adjustRightInd w:val="0"/>
        <w:spacing w:line="360" w:lineRule="auto"/>
        <w:jc w:val="center"/>
        <w:rPr>
          <w:rFonts w:eastAsia="Calibri"/>
          <w:sz w:val="36"/>
          <w:szCs w:val="36"/>
          <w:lang w:val="el-GR"/>
        </w:rPr>
      </w:pPr>
      <w:r w:rsidRPr="00F446F6">
        <w:rPr>
          <w:rFonts w:eastAsia="Calibri"/>
          <w:sz w:val="36"/>
          <w:szCs w:val="36"/>
          <w:lang w:val="el-GR"/>
        </w:rPr>
        <w:t>ΤΜΗΜΑ ΛΟΓΟΘΕΡΑΠΕΙΑΣ</w:t>
      </w:r>
    </w:p>
    <w:p w14:paraId="30D5D6BE" w14:textId="77777777" w:rsidR="008946C7" w:rsidRPr="00F446F6" w:rsidRDefault="008946C7" w:rsidP="008946C7">
      <w:pPr>
        <w:autoSpaceDE w:val="0"/>
        <w:autoSpaceDN w:val="0"/>
        <w:adjustRightInd w:val="0"/>
        <w:spacing w:line="360" w:lineRule="auto"/>
        <w:jc w:val="center"/>
        <w:rPr>
          <w:rFonts w:eastAsia="Calibri"/>
          <w:sz w:val="36"/>
          <w:szCs w:val="36"/>
          <w:lang w:val="el-GR"/>
        </w:rPr>
      </w:pPr>
    </w:p>
    <w:p w14:paraId="169BF84A" w14:textId="77777777" w:rsidR="008946C7" w:rsidRPr="00F446F6" w:rsidRDefault="008946C7" w:rsidP="008946C7">
      <w:pPr>
        <w:autoSpaceDE w:val="0"/>
        <w:autoSpaceDN w:val="0"/>
        <w:adjustRightInd w:val="0"/>
        <w:spacing w:line="360" w:lineRule="auto"/>
        <w:jc w:val="center"/>
        <w:rPr>
          <w:rFonts w:eastAsia="Calibri"/>
          <w:sz w:val="36"/>
          <w:szCs w:val="36"/>
          <w:lang w:val="el-GR"/>
        </w:rPr>
      </w:pPr>
      <w:r w:rsidRPr="00F446F6">
        <w:rPr>
          <w:rFonts w:eastAsia="Calibri"/>
          <w:sz w:val="36"/>
          <w:szCs w:val="36"/>
          <w:lang w:val="el-GR"/>
        </w:rPr>
        <w:t>Πτυχιακή Εργασία</w:t>
      </w:r>
    </w:p>
    <w:p w14:paraId="7890EA5F" w14:textId="77777777" w:rsidR="008946C7" w:rsidRPr="00F446F6" w:rsidRDefault="008946C7" w:rsidP="008946C7">
      <w:pPr>
        <w:autoSpaceDE w:val="0"/>
        <w:autoSpaceDN w:val="0"/>
        <w:adjustRightInd w:val="0"/>
        <w:spacing w:line="360" w:lineRule="auto"/>
        <w:jc w:val="center"/>
        <w:rPr>
          <w:rFonts w:eastAsia="Calibri"/>
          <w:sz w:val="36"/>
          <w:szCs w:val="36"/>
          <w:lang w:val="el-GR"/>
        </w:rPr>
      </w:pPr>
      <w:r w:rsidRPr="00F446F6">
        <w:rPr>
          <w:rFonts w:eastAsia="Calibri"/>
          <w:sz w:val="36"/>
          <w:szCs w:val="36"/>
          <w:lang w:val="el-GR"/>
        </w:rPr>
        <w:t>Θέμα:</w:t>
      </w:r>
    </w:p>
    <w:p w14:paraId="6A7C4741" w14:textId="3F6F740C" w:rsidR="008946C7" w:rsidRPr="00F446F6" w:rsidRDefault="008946C7" w:rsidP="008946C7">
      <w:pPr>
        <w:autoSpaceDE w:val="0"/>
        <w:autoSpaceDN w:val="0"/>
        <w:adjustRightInd w:val="0"/>
        <w:spacing w:line="360" w:lineRule="auto"/>
        <w:jc w:val="center"/>
        <w:rPr>
          <w:rFonts w:eastAsia="Calibri"/>
          <w:sz w:val="40"/>
          <w:szCs w:val="40"/>
          <w:lang w:val="el-GR"/>
        </w:rPr>
      </w:pPr>
      <w:r w:rsidRPr="00F446F6">
        <w:rPr>
          <w:rFonts w:eastAsia="Calibri"/>
          <w:sz w:val="40"/>
          <w:szCs w:val="40"/>
          <w:lang w:val="el-GR"/>
        </w:rPr>
        <w:lastRenderedPageBreak/>
        <w:t>«</w:t>
      </w:r>
      <w:r w:rsidR="009023EE" w:rsidRPr="00F446F6">
        <w:rPr>
          <w:rFonts w:eastAsia="Calibri"/>
          <w:sz w:val="40"/>
          <w:szCs w:val="40"/>
          <w:lang w:val="el-GR"/>
        </w:rPr>
        <w:t>Εφαρμογή</w:t>
      </w:r>
      <w:r w:rsidRPr="00F446F6">
        <w:rPr>
          <w:rFonts w:eastAsia="Calibri"/>
          <w:sz w:val="40"/>
          <w:szCs w:val="40"/>
          <w:lang w:val="el-GR"/>
        </w:rPr>
        <w:t xml:space="preserve"> Ερωτηματολογίου για τη Δυσφαγία </w:t>
      </w:r>
      <w:r w:rsidR="009023EE" w:rsidRPr="00F446F6">
        <w:rPr>
          <w:rFonts w:eastAsia="Calibri"/>
          <w:sz w:val="40"/>
          <w:szCs w:val="40"/>
          <w:lang w:val="el-GR"/>
        </w:rPr>
        <w:t>Ασθενών</w:t>
      </w:r>
      <w:r w:rsidR="004F530C">
        <w:rPr>
          <w:rFonts w:eastAsia="Calibri"/>
          <w:sz w:val="40"/>
          <w:szCs w:val="40"/>
          <w:lang w:val="el-GR"/>
        </w:rPr>
        <w:t xml:space="preserve"> με Καρκίνο</w:t>
      </w:r>
      <w:r w:rsidR="009023EE" w:rsidRPr="00F446F6">
        <w:rPr>
          <w:rFonts w:eastAsia="Calibri"/>
          <w:sz w:val="40"/>
          <w:szCs w:val="40"/>
          <w:lang w:val="el-GR"/>
        </w:rPr>
        <w:t xml:space="preserve"> Κεφαλής Τραχήλου: Μια Πιλοτική Δοκιμή σε Τυπικό Ενήλικο Πληθυσμό</w:t>
      </w:r>
      <w:r w:rsidRPr="00F446F6">
        <w:rPr>
          <w:rFonts w:eastAsia="Calibri"/>
          <w:sz w:val="40"/>
          <w:szCs w:val="40"/>
          <w:lang w:val="el-GR"/>
        </w:rPr>
        <w:t>»</w:t>
      </w:r>
    </w:p>
    <w:p w14:paraId="3CC6757C" w14:textId="77777777" w:rsidR="008946C7" w:rsidRPr="00F446F6" w:rsidRDefault="008946C7" w:rsidP="008946C7">
      <w:pPr>
        <w:jc w:val="center"/>
        <w:rPr>
          <w:rFonts w:eastAsia="Calibri"/>
          <w:i/>
          <w:iCs/>
          <w:sz w:val="32"/>
          <w:szCs w:val="32"/>
          <w:lang w:val="el-GR"/>
        </w:rPr>
      </w:pPr>
    </w:p>
    <w:p w14:paraId="2495ECF7" w14:textId="77777777" w:rsidR="008946C7" w:rsidRPr="00F446F6" w:rsidRDefault="009023EE" w:rsidP="008946C7">
      <w:pPr>
        <w:jc w:val="center"/>
        <w:rPr>
          <w:rFonts w:eastAsia="Calibri"/>
          <w:i/>
          <w:iCs/>
          <w:sz w:val="32"/>
          <w:szCs w:val="32"/>
          <w:lang w:val="el-GR"/>
        </w:rPr>
      </w:pPr>
      <w:r w:rsidRPr="00F446F6">
        <w:rPr>
          <w:rFonts w:eastAsia="Calibri"/>
          <w:i/>
          <w:iCs/>
          <w:sz w:val="32"/>
          <w:szCs w:val="32"/>
          <w:lang w:val="el-GR"/>
        </w:rPr>
        <w:t>Γιωτίτσα Έλενα</w:t>
      </w:r>
      <w:r w:rsidR="008946C7" w:rsidRPr="00F446F6">
        <w:rPr>
          <w:rFonts w:eastAsia="Calibri"/>
          <w:i/>
          <w:iCs/>
          <w:sz w:val="32"/>
          <w:szCs w:val="32"/>
          <w:lang w:val="el-GR"/>
        </w:rPr>
        <w:t xml:space="preserve">, </w:t>
      </w:r>
      <w:r w:rsidR="00983548">
        <w:rPr>
          <w:rFonts w:eastAsia="Calibri"/>
          <w:i/>
          <w:iCs/>
          <w:sz w:val="32"/>
          <w:szCs w:val="32"/>
          <w:lang w:val="el-GR"/>
        </w:rPr>
        <w:t>ΑΜ: 16645</w:t>
      </w:r>
    </w:p>
    <w:p w14:paraId="26B08E2F" w14:textId="77777777" w:rsidR="008946C7" w:rsidRPr="00F446F6" w:rsidRDefault="009023EE" w:rsidP="008946C7">
      <w:pPr>
        <w:jc w:val="center"/>
        <w:rPr>
          <w:rFonts w:eastAsia="Calibri"/>
          <w:i/>
          <w:iCs/>
          <w:sz w:val="32"/>
          <w:szCs w:val="32"/>
          <w:lang w:val="el-GR"/>
        </w:rPr>
      </w:pPr>
      <w:r w:rsidRPr="00F446F6">
        <w:rPr>
          <w:rFonts w:eastAsia="Calibri"/>
          <w:i/>
          <w:iCs/>
          <w:sz w:val="32"/>
          <w:szCs w:val="32"/>
          <w:lang w:val="el-GR"/>
        </w:rPr>
        <w:t>Δουλγέρη</w:t>
      </w:r>
      <w:r w:rsidR="00983548">
        <w:rPr>
          <w:rFonts w:eastAsia="Calibri"/>
          <w:i/>
          <w:iCs/>
          <w:sz w:val="32"/>
          <w:szCs w:val="32"/>
          <w:lang w:val="el-GR"/>
        </w:rPr>
        <w:t>-Καρακόλιου</w:t>
      </w:r>
      <w:r w:rsidRPr="00F446F6">
        <w:rPr>
          <w:rFonts w:eastAsia="Calibri"/>
          <w:i/>
          <w:iCs/>
          <w:sz w:val="32"/>
          <w:szCs w:val="32"/>
          <w:lang w:val="el-GR"/>
        </w:rPr>
        <w:t xml:space="preserve"> Γεωργία</w:t>
      </w:r>
      <w:r w:rsidR="008946C7" w:rsidRPr="00F446F6">
        <w:rPr>
          <w:rFonts w:eastAsia="Calibri"/>
          <w:i/>
          <w:iCs/>
          <w:sz w:val="32"/>
          <w:szCs w:val="32"/>
          <w:lang w:val="el-GR"/>
        </w:rPr>
        <w:t xml:space="preserve">, </w:t>
      </w:r>
      <w:r w:rsidR="00983548">
        <w:rPr>
          <w:rFonts w:eastAsia="Calibri"/>
          <w:i/>
          <w:iCs/>
          <w:sz w:val="32"/>
          <w:szCs w:val="32"/>
          <w:lang w:val="el-GR"/>
        </w:rPr>
        <w:t>ΑΜ: 16547</w:t>
      </w:r>
    </w:p>
    <w:p w14:paraId="5E4B5B5E" w14:textId="77777777" w:rsidR="008946C7" w:rsidRPr="00F446F6" w:rsidRDefault="009023EE" w:rsidP="008946C7">
      <w:pPr>
        <w:jc w:val="center"/>
        <w:rPr>
          <w:rFonts w:eastAsia="Calibri"/>
          <w:i/>
          <w:iCs/>
          <w:sz w:val="32"/>
          <w:szCs w:val="32"/>
          <w:lang w:val="el-GR"/>
        </w:rPr>
      </w:pPr>
      <w:r w:rsidRPr="00F446F6">
        <w:rPr>
          <w:rFonts w:eastAsia="Calibri"/>
          <w:i/>
          <w:iCs/>
          <w:sz w:val="32"/>
          <w:szCs w:val="32"/>
          <w:lang w:val="el-GR"/>
        </w:rPr>
        <w:t>Δρουγουνάκη Δήμητρα</w:t>
      </w:r>
      <w:r w:rsidR="008946C7" w:rsidRPr="00F446F6">
        <w:rPr>
          <w:rFonts w:eastAsia="Calibri"/>
          <w:i/>
          <w:iCs/>
          <w:sz w:val="32"/>
          <w:szCs w:val="32"/>
          <w:lang w:val="el-GR"/>
        </w:rPr>
        <w:t xml:space="preserve">, </w:t>
      </w:r>
      <w:r w:rsidR="00983548">
        <w:rPr>
          <w:rFonts w:eastAsia="Calibri"/>
          <w:i/>
          <w:iCs/>
          <w:sz w:val="32"/>
          <w:szCs w:val="32"/>
          <w:lang w:val="el-GR"/>
        </w:rPr>
        <w:t>ΑΜ: 16573</w:t>
      </w:r>
    </w:p>
    <w:p w14:paraId="0BFD0B21" w14:textId="77777777" w:rsidR="008946C7" w:rsidRPr="00F446F6" w:rsidRDefault="009023EE" w:rsidP="008946C7">
      <w:pPr>
        <w:jc w:val="center"/>
        <w:rPr>
          <w:rFonts w:eastAsia="Calibri"/>
          <w:i/>
          <w:iCs/>
          <w:sz w:val="32"/>
          <w:szCs w:val="32"/>
          <w:lang w:val="el-GR"/>
        </w:rPr>
      </w:pPr>
      <w:proofErr w:type="spellStart"/>
      <w:r w:rsidRPr="00F446F6">
        <w:rPr>
          <w:rFonts w:eastAsia="Calibri"/>
          <w:i/>
          <w:iCs/>
          <w:sz w:val="32"/>
          <w:szCs w:val="32"/>
          <w:lang w:val="el-GR"/>
        </w:rPr>
        <w:t>Ζαϊμίδου</w:t>
      </w:r>
      <w:proofErr w:type="spellEnd"/>
      <w:r w:rsidRPr="00F446F6">
        <w:rPr>
          <w:rFonts w:eastAsia="Calibri"/>
          <w:i/>
          <w:iCs/>
          <w:sz w:val="32"/>
          <w:szCs w:val="32"/>
          <w:lang w:val="el-GR"/>
        </w:rPr>
        <w:t xml:space="preserve"> </w:t>
      </w:r>
      <w:proofErr w:type="spellStart"/>
      <w:r w:rsidRPr="00F446F6">
        <w:rPr>
          <w:rFonts w:eastAsia="Calibri"/>
          <w:i/>
          <w:iCs/>
          <w:sz w:val="32"/>
          <w:szCs w:val="32"/>
          <w:lang w:val="el-GR"/>
        </w:rPr>
        <w:t>Φιλινή</w:t>
      </w:r>
      <w:proofErr w:type="spellEnd"/>
      <w:r w:rsidR="008946C7" w:rsidRPr="00F446F6">
        <w:rPr>
          <w:rFonts w:eastAsia="Calibri"/>
          <w:i/>
          <w:iCs/>
          <w:sz w:val="32"/>
          <w:szCs w:val="32"/>
          <w:lang w:val="el-GR"/>
        </w:rPr>
        <w:t xml:space="preserve">, </w:t>
      </w:r>
      <w:r w:rsidR="00983548">
        <w:rPr>
          <w:rFonts w:eastAsia="Calibri"/>
          <w:i/>
          <w:iCs/>
          <w:sz w:val="32"/>
          <w:szCs w:val="32"/>
          <w:lang w:val="el-GR"/>
        </w:rPr>
        <w:t xml:space="preserve">ΑΜ: </w:t>
      </w:r>
      <w:r w:rsidR="006B5214">
        <w:rPr>
          <w:rFonts w:eastAsia="Calibri"/>
          <w:i/>
          <w:iCs/>
          <w:sz w:val="32"/>
          <w:szCs w:val="32"/>
          <w:lang w:val="el-GR"/>
        </w:rPr>
        <w:t>16520</w:t>
      </w:r>
    </w:p>
    <w:p w14:paraId="05A0ACA3" w14:textId="77777777" w:rsidR="008946C7" w:rsidRPr="00F446F6" w:rsidRDefault="008946C7" w:rsidP="008946C7">
      <w:pPr>
        <w:autoSpaceDE w:val="0"/>
        <w:autoSpaceDN w:val="0"/>
        <w:adjustRightInd w:val="0"/>
        <w:spacing w:line="360" w:lineRule="auto"/>
        <w:jc w:val="center"/>
        <w:rPr>
          <w:rFonts w:eastAsia="Calibri"/>
          <w:sz w:val="32"/>
          <w:szCs w:val="32"/>
          <w:lang w:val="el-GR"/>
        </w:rPr>
      </w:pPr>
    </w:p>
    <w:p w14:paraId="000B8CCF" w14:textId="77777777" w:rsidR="008946C7" w:rsidRPr="00F446F6" w:rsidRDefault="008946C7" w:rsidP="008946C7">
      <w:pPr>
        <w:autoSpaceDE w:val="0"/>
        <w:autoSpaceDN w:val="0"/>
        <w:adjustRightInd w:val="0"/>
        <w:spacing w:line="360" w:lineRule="auto"/>
        <w:jc w:val="center"/>
        <w:rPr>
          <w:rFonts w:eastAsia="Calibri"/>
          <w:i/>
          <w:iCs/>
          <w:sz w:val="32"/>
          <w:szCs w:val="32"/>
          <w:lang w:val="el-GR"/>
        </w:rPr>
      </w:pPr>
      <w:r w:rsidRPr="00F446F6">
        <w:rPr>
          <w:rFonts w:eastAsia="Calibri"/>
          <w:i/>
          <w:iCs/>
          <w:sz w:val="32"/>
          <w:szCs w:val="32"/>
          <w:lang w:val="el-GR"/>
        </w:rPr>
        <w:t xml:space="preserve">Επιβλέπων Καθηγητής: </w:t>
      </w:r>
      <w:proofErr w:type="spellStart"/>
      <w:r w:rsidRPr="00F446F6">
        <w:rPr>
          <w:rFonts w:eastAsia="Calibri"/>
          <w:i/>
          <w:iCs/>
          <w:sz w:val="32"/>
          <w:szCs w:val="32"/>
          <w:lang w:val="el-GR"/>
        </w:rPr>
        <w:t>Ταφιάδης</w:t>
      </w:r>
      <w:proofErr w:type="spellEnd"/>
      <w:r w:rsidRPr="00F446F6">
        <w:rPr>
          <w:rFonts w:eastAsia="Calibri"/>
          <w:i/>
          <w:iCs/>
          <w:sz w:val="32"/>
          <w:szCs w:val="32"/>
          <w:lang w:val="el-GR"/>
        </w:rPr>
        <w:t xml:space="preserve"> Διονύσιος</w:t>
      </w:r>
    </w:p>
    <w:p w14:paraId="56259F64" w14:textId="77777777" w:rsidR="008946C7" w:rsidRPr="00F446F6" w:rsidRDefault="008946C7" w:rsidP="008946C7">
      <w:pPr>
        <w:autoSpaceDE w:val="0"/>
        <w:autoSpaceDN w:val="0"/>
        <w:adjustRightInd w:val="0"/>
        <w:spacing w:line="360" w:lineRule="auto"/>
        <w:jc w:val="center"/>
        <w:rPr>
          <w:rFonts w:eastAsia="Calibri"/>
          <w:sz w:val="28"/>
          <w:szCs w:val="28"/>
          <w:lang w:val="el-GR"/>
        </w:rPr>
      </w:pPr>
    </w:p>
    <w:p w14:paraId="7C609006" w14:textId="77777777" w:rsidR="008946C7" w:rsidRPr="00F446F6" w:rsidRDefault="008946C7" w:rsidP="008946C7">
      <w:pPr>
        <w:autoSpaceDE w:val="0"/>
        <w:autoSpaceDN w:val="0"/>
        <w:adjustRightInd w:val="0"/>
        <w:spacing w:line="360" w:lineRule="auto"/>
        <w:jc w:val="center"/>
        <w:rPr>
          <w:rFonts w:eastAsia="Calibri"/>
          <w:i/>
          <w:iCs/>
          <w:sz w:val="26"/>
          <w:szCs w:val="26"/>
          <w:lang w:val="el-GR"/>
        </w:rPr>
      </w:pPr>
      <w:r w:rsidRPr="00F446F6">
        <w:rPr>
          <w:rFonts w:eastAsia="Calibri"/>
          <w:i/>
          <w:iCs/>
          <w:sz w:val="26"/>
          <w:szCs w:val="26"/>
          <w:lang w:val="el-GR"/>
        </w:rPr>
        <w:t>ΙΩΑΝΝΙΝΑ 2017</w:t>
      </w:r>
    </w:p>
    <w:bookmarkEnd w:id="1"/>
    <w:p w14:paraId="1F8235B6" w14:textId="77777777" w:rsidR="00232CAD" w:rsidRPr="00C73CE0" w:rsidRDefault="008946C7" w:rsidP="00232CAD">
      <w:pPr>
        <w:autoSpaceDE w:val="0"/>
        <w:autoSpaceDN w:val="0"/>
        <w:adjustRightInd w:val="0"/>
        <w:jc w:val="center"/>
        <w:rPr>
          <w:rFonts w:eastAsia="Calibri"/>
        </w:rPr>
      </w:pPr>
      <w:r w:rsidRPr="00F446F6">
        <w:rPr>
          <w:rFonts w:eastAsia="Calibri"/>
          <w:i/>
          <w:iCs/>
          <w:sz w:val="26"/>
          <w:szCs w:val="26"/>
          <w:lang w:val="el-GR"/>
        </w:rPr>
        <w:br w:type="page"/>
      </w:r>
      <w:bookmarkStart w:id="2" w:name="_Toc487733244"/>
      <w:r w:rsidR="00232CAD" w:rsidRPr="00C73CE0">
        <w:rPr>
          <w:rFonts w:eastAsia="Calibri"/>
          <w:noProof/>
          <w:lang w:val="el-GR" w:eastAsia="el-GR"/>
        </w:rPr>
        <w:lastRenderedPageBreak/>
        <w:drawing>
          <wp:inline distT="0" distB="0" distL="0" distR="0" wp14:anchorId="2518E6EE" wp14:editId="475FFEE5">
            <wp:extent cx="1288112" cy="1288112"/>
            <wp:effectExtent l="0" t="0" r="0" b="0"/>
            <wp:docPr id="6" name="4 - Εικόνα" descr="Logo_TEIofEpir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TEIofEpirus.jpg"/>
                    <pic:cNvPicPr/>
                  </pic:nvPicPr>
                  <pic:blipFill>
                    <a:blip r:embed="rId8" cstate="print"/>
                    <a:stretch>
                      <a:fillRect/>
                    </a:stretch>
                  </pic:blipFill>
                  <pic:spPr>
                    <a:xfrm>
                      <a:off x="0" y="0"/>
                      <a:ext cx="1285876" cy="1285876"/>
                    </a:xfrm>
                    <a:prstGeom prst="rect">
                      <a:avLst/>
                    </a:prstGeom>
                  </pic:spPr>
                </pic:pic>
              </a:graphicData>
            </a:graphic>
          </wp:inline>
        </w:drawing>
      </w:r>
    </w:p>
    <w:p w14:paraId="61534096" w14:textId="77777777" w:rsidR="00232CAD" w:rsidRDefault="00232CAD" w:rsidP="00232CAD">
      <w:pPr>
        <w:autoSpaceDE w:val="0"/>
        <w:autoSpaceDN w:val="0"/>
        <w:adjustRightInd w:val="0"/>
        <w:spacing w:line="360" w:lineRule="auto"/>
        <w:jc w:val="center"/>
        <w:rPr>
          <w:rFonts w:eastAsia="Calibri"/>
          <w:sz w:val="36"/>
          <w:szCs w:val="36"/>
        </w:rPr>
      </w:pPr>
    </w:p>
    <w:p w14:paraId="51E1A08B" w14:textId="77777777" w:rsidR="00232CAD" w:rsidRPr="00F446F6" w:rsidRDefault="00232CAD" w:rsidP="00232CAD">
      <w:pPr>
        <w:autoSpaceDE w:val="0"/>
        <w:autoSpaceDN w:val="0"/>
        <w:adjustRightInd w:val="0"/>
        <w:spacing w:line="360" w:lineRule="auto"/>
        <w:jc w:val="center"/>
        <w:rPr>
          <w:rFonts w:eastAsia="Calibri"/>
          <w:sz w:val="36"/>
          <w:szCs w:val="36"/>
          <w:lang w:val="el-GR"/>
        </w:rPr>
      </w:pPr>
      <w:r w:rsidRPr="00F446F6">
        <w:rPr>
          <w:rFonts w:eastAsia="Calibri"/>
          <w:sz w:val="36"/>
          <w:szCs w:val="36"/>
          <w:lang w:val="el-GR"/>
        </w:rPr>
        <w:t>ΤΕΙ ΗΠΕΙΡΟΥ</w:t>
      </w:r>
    </w:p>
    <w:p w14:paraId="57D8DD78" w14:textId="77777777" w:rsidR="00232CAD" w:rsidRPr="00F446F6" w:rsidRDefault="00232CAD" w:rsidP="00232CAD">
      <w:pPr>
        <w:autoSpaceDE w:val="0"/>
        <w:autoSpaceDN w:val="0"/>
        <w:adjustRightInd w:val="0"/>
        <w:spacing w:line="360" w:lineRule="auto"/>
        <w:jc w:val="center"/>
        <w:rPr>
          <w:rFonts w:eastAsia="Calibri"/>
          <w:sz w:val="36"/>
          <w:szCs w:val="36"/>
          <w:lang w:val="el-GR"/>
        </w:rPr>
      </w:pPr>
      <w:r w:rsidRPr="00F446F6">
        <w:rPr>
          <w:rFonts w:eastAsia="Calibri"/>
          <w:sz w:val="36"/>
          <w:szCs w:val="36"/>
          <w:lang w:val="el-GR"/>
        </w:rPr>
        <w:t xml:space="preserve">ΣΧΟΛΗ ΕΠΑΓΓΕΛΜΑΤΩΝ ΥΓΕΙΑΣ ΚΑΙ ΠΡΟΝΟΙΑΣ </w:t>
      </w:r>
    </w:p>
    <w:p w14:paraId="35B530CB" w14:textId="77777777" w:rsidR="00232CAD" w:rsidRPr="00F446F6" w:rsidRDefault="00232CAD" w:rsidP="00232CAD">
      <w:pPr>
        <w:autoSpaceDE w:val="0"/>
        <w:autoSpaceDN w:val="0"/>
        <w:adjustRightInd w:val="0"/>
        <w:spacing w:line="360" w:lineRule="auto"/>
        <w:jc w:val="center"/>
        <w:rPr>
          <w:rFonts w:eastAsia="Calibri"/>
          <w:sz w:val="36"/>
          <w:szCs w:val="36"/>
          <w:lang w:val="el-GR"/>
        </w:rPr>
      </w:pPr>
      <w:r w:rsidRPr="00F446F6">
        <w:rPr>
          <w:rFonts w:eastAsia="Calibri"/>
          <w:sz w:val="36"/>
          <w:szCs w:val="36"/>
          <w:lang w:val="el-GR"/>
        </w:rPr>
        <w:t>ΤΜΗΜΑ ΛΟΓΟΘΕΡΑΠΕΙΑΣ</w:t>
      </w:r>
    </w:p>
    <w:p w14:paraId="031D9A51" w14:textId="77777777" w:rsidR="00232CAD" w:rsidRPr="00F446F6" w:rsidRDefault="00232CAD" w:rsidP="00232CAD">
      <w:pPr>
        <w:autoSpaceDE w:val="0"/>
        <w:autoSpaceDN w:val="0"/>
        <w:adjustRightInd w:val="0"/>
        <w:spacing w:line="360" w:lineRule="auto"/>
        <w:jc w:val="center"/>
        <w:rPr>
          <w:rFonts w:eastAsia="Calibri"/>
          <w:sz w:val="36"/>
          <w:szCs w:val="36"/>
          <w:lang w:val="el-GR"/>
        </w:rPr>
      </w:pPr>
    </w:p>
    <w:p w14:paraId="21B5BC3E" w14:textId="77777777" w:rsidR="00232CAD" w:rsidRPr="00F446F6" w:rsidRDefault="00232CAD" w:rsidP="00232CAD">
      <w:pPr>
        <w:autoSpaceDE w:val="0"/>
        <w:autoSpaceDN w:val="0"/>
        <w:adjustRightInd w:val="0"/>
        <w:spacing w:line="360" w:lineRule="auto"/>
        <w:jc w:val="center"/>
        <w:rPr>
          <w:rFonts w:eastAsia="Calibri"/>
          <w:sz w:val="36"/>
          <w:szCs w:val="36"/>
          <w:lang w:val="el-GR"/>
        </w:rPr>
      </w:pPr>
      <w:r w:rsidRPr="00F446F6">
        <w:rPr>
          <w:rFonts w:eastAsia="Calibri"/>
          <w:sz w:val="36"/>
          <w:szCs w:val="36"/>
          <w:lang w:val="el-GR"/>
        </w:rPr>
        <w:t>Πτυχιακή Εργασία</w:t>
      </w:r>
    </w:p>
    <w:p w14:paraId="54034D73" w14:textId="77777777" w:rsidR="00232CAD" w:rsidRPr="00F446F6" w:rsidRDefault="00232CAD" w:rsidP="00232CAD">
      <w:pPr>
        <w:autoSpaceDE w:val="0"/>
        <w:autoSpaceDN w:val="0"/>
        <w:adjustRightInd w:val="0"/>
        <w:spacing w:line="360" w:lineRule="auto"/>
        <w:jc w:val="center"/>
        <w:rPr>
          <w:rFonts w:eastAsia="Calibri"/>
          <w:sz w:val="36"/>
          <w:szCs w:val="36"/>
          <w:lang w:val="el-GR"/>
        </w:rPr>
      </w:pPr>
      <w:r w:rsidRPr="00F446F6">
        <w:rPr>
          <w:rFonts w:eastAsia="Calibri"/>
          <w:sz w:val="36"/>
          <w:szCs w:val="36"/>
          <w:lang w:val="el-GR"/>
        </w:rPr>
        <w:t>Θέμα:</w:t>
      </w:r>
    </w:p>
    <w:p w14:paraId="1DBF04BA" w14:textId="7B1B8C3A" w:rsidR="00232CAD" w:rsidRPr="00F446F6" w:rsidRDefault="00232CAD" w:rsidP="00232CAD">
      <w:pPr>
        <w:autoSpaceDE w:val="0"/>
        <w:autoSpaceDN w:val="0"/>
        <w:adjustRightInd w:val="0"/>
        <w:spacing w:line="360" w:lineRule="auto"/>
        <w:jc w:val="center"/>
        <w:rPr>
          <w:rFonts w:eastAsia="Calibri"/>
          <w:sz w:val="40"/>
          <w:szCs w:val="40"/>
          <w:lang w:val="el-GR"/>
        </w:rPr>
      </w:pPr>
      <w:r w:rsidRPr="00F446F6">
        <w:rPr>
          <w:rFonts w:eastAsia="Calibri"/>
          <w:sz w:val="40"/>
          <w:szCs w:val="40"/>
          <w:lang w:val="el-GR"/>
        </w:rPr>
        <w:lastRenderedPageBreak/>
        <w:t>«Εφαρμογή Ερωτηματολογίου για τη Δυσφαγία Ασθενών</w:t>
      </w:r>
      <w:r w:rsidR="00790D04">
        <w:rPr>
          <w:rFonts w:eastAsia="Calibri"/>
          <w:sz w:val="40"/>
          <w:szCs w:val="40"/>
          <w:lang w:val="el-GR"/>
        </w:rPr>
        <w:t xml:space="preserve"> με Καρκίνο</w:t>
      </w:r>
      <w:r w:rsidRPr="00F446F6">
        <w:rPr>
          <w:rFonts w:eastAsia="Calibri"/>
          <w:sz w:val="40"/>
          <w:szCs w:val="40"/>
          <w:lang w:val="el-GR"/>
        </w:rPr>
        <w:t xml:space="preserve"> Κεφαλής Τραχήλου: Μια Πιλοτική Δοκιμή σε Τυπικό Ενήλικο Πληθυσμό»</w:t>
      </w:r>
    </w:p>
    <w:p w14:paraId="44252624" w14:textId="77777777" w:rsidR="00232CAD" w:rsidRPr="00F446F6" w:rsidRDefault="00232CAD" w:rsidP="00232CAD">
      <w:pPr>
        <w:jc w:val="center"/>
        <w:rPr>
          <w:rFonts w:eastAsia="Calibri"/>
          <w:i/>
          <w:iCs/>
          <w:sz w:val="32"/>
          <w:szCs w:val="32"/>
          <w:lang w:val="el-GR"/>
        </w:rPr>
      </w:pPr>
    </w:p>
    <w:p w14:paraId="6035135C" w14:textId="77777777" w:rsidR="00232CAD" w:rsidRPr="00F446F6" w:rsidRDefault="002E2E91" w:rsidP="00232CAD">
      <w:pPr>
        <w:jc w:val="center"/>
        <w:rPr>
          <w:rFonts w:eastAsia="Calibri"/>
          <w:i/>
          <w:iCs/>
          <w:sz w:val="32"/>
          <w:szCs w:val="32"/>
          <w:lang w:val="el-GR"/>
        </w:rPr>
      </w:pPr>
      <w:r>
        <w:rPr>
          <w:rFonts w:eastAsia="Calibri"/>
          <w:i/>
          <w:iCs/>
          <w:sz w:val="32"/>
          <w:szCs w:val="32"/>
          <w:lang w:val="el-GR"/>
        </w:rPr>
        <w:t>Γιωτίτσα Έλενα, ΑΜ: 16645</w:t>
      </w:r>
    </w:p>
    <w:p w14:paraId="6F3499EB" w14:textId="77777777" w:rsidR="00232CAD" w:rsidRPr="00F446F6" w:rsidRDefault="002E2E91" w:rsidP="00232CAD">
      <w:pPr>
        <w:jc w:val="center"/>
        <w:rPr>
          <w:rFonts w:eastAsia="Calibri"/>
          <w:i/>
          <w:iCs/>
          <w:sz w:val="32"/>
          <w:szCs w:val="32"/>
          <w:lang w:val="el-GR"/>
        </w:rPr>
      </w:pPr>
      <w:r>
        <w:rPr>
          <w:rFonts w:eastAsia="Calibri"/>
          <w:i/>
          <w:iCs/>
          <w:sz w:val="32"/>
          <w:szCs w:val="32"/>
          <w:lang w:val="el-GR"/>
        </w:rPr>
        <w:t>Δουλγέρη</w:t>
      </w:r>
      <w:r w:rsidR="00383C2C">
        <w:rPr>
          <w:rFonts w:eastAsia="Calibri"/>
          <w:i/>
          <w:iCs/>
          <w:sz w:val="32"/>
          <w:szCs w:val="32"/>
          <w:lang w:val="el-GR"/>
        </w:rPr>
        <w:t>-Καρακόλιου</w:t>
      </w:r>
      <w:r>
        <w:rPr>
          <w:rFonts w:eastAsia="Calibri"/>
          <w:i/>
          <w:iCs/>
          <w:sz w:val="32"/>
          <w:szCs w:val="32"/>
          <w:lang w:val="el-GR"/>
        </w:rPr>
        <w:t xml:space="preserve"> Γεωργία, ΑΜ: 16547</w:t>
      </w:r>
    </w:p>
    <w:p w14:paraId="5001C2FB" w14:textId="77777777" w:rsidR="00232CAD" w:rsidRPr="00F446F6" w:rsidRDefault="002E2E91" w:rsidP="00232CAD">
      <w:pPr>
        <w:jc w:val="center"/>
        <w:rPr>
          <w:rFonts w:eastAsia="Calibri"/>
          <w:i/>
          <w:iCs/>
          <w:sz w:val="32"/>
          <w:szCs w:val="32"/>
          <w:lang w:val="el-GR"/>
        </w:rPr>
      </w:pPr>
      <w:r>
        <w:rPr>
          <w:rFonts w:eastAsia="Calibri"/>
          <w:i/>
          <w:iCs/>
          <w:sz w:val="32"/>
          <w:szCs w:val="32"/>
          <w:lang w:val="el-GR"/>
        </w:rPr>
        <w:t>Δρουγουνάκη Δήμητρα, ΑΜ: 16573</w:t>
      </w:r>
    </w:p>
    <w:p w14:paraId="6EA205B3" w14:textId="77777777" w:rsidR="00232CAD" w:rsidRPr="00F446F6" w:rsidRDefault="006B5214" w:rsidP="00232CAD">
      <w:pPr>
        <w:jc w:val="center"/>
        <w:rPr>
          <w:rFonts w:eastAsia="Calibri"/>
          <w:i/>
          <w:iCs/>
          <w:sz w:val="32"/>
          <w:szCs w:val="32"/>
          <w:lang w:val="el-GR"/>
        </w:rPr>
      </w:pPr>
      <w:proofErr w:type="spellStart"/>
      <w:r>
        <w:rPr>
          <w:rFonts w:eastAsia="Calibri"/>
          <w:i/>
          <w:iCs/>
          <w:sz w:val="32"/>
          <w:szCs w:val="32"/>
          <w:lang w:val="el-GR"/>
        </w:rPr>
        <w:t>Ζαϊμίδου</w:t>
      </w:r>
      <w:proofErr w:type="spellEnd"/>
      <w:r>
        <w:rPr>
          <w:rFonts w:eastAsia="Calibri"/>
          <w:i/>
          <w:iCs/>
          <w:sz w:val="32"/>
          <w:szCs w:val="32"/>
          <w:lang w:val="el-GR"/>
        </w:rPr>
        <w:t xml:space="preserve"> </w:t>
      </w:r>
      <w:proofErr w:type="spellStart"/>
      <w:r>
        <w:rPr>
          <w:rFonts w:eastAsia="Calibri"/>
          <w:i/>
          <w:iCs/>
          <w:sz w:val="32"/>
          <w:szCs w:val="32"/>
          <w:lang w:val="el-GR"/>
        </w:rPr>
        <w:t>Φιλινή</w:t>
      </w:r>
      <w:proofErr w:type="spellEnd"/>
      <w:r>
        <w:rPr>
          <w:rFonts w:eastAsia="Calibri"/>
          <w:i/>
          <w:iCs/>
          <w:sz w:val="32"/>
          <w:szCs w:val="32"/>
          <w:lang w:val="el-GR"/>
        </w:rPr>
        <w:t>, ΑΜ: 16520</w:t>
      </w:r>
    </w:p>
    <w:p w14:paraId="58C1A128" w14:textId="77777777" w:rsidR="00232CAD" w:rsidRPr="00F446F6" w:rsidRDefault="00232CAD" w:rsidP="00232CAD">
      <w:pPr>
        <w:autoSpaceDE w:val="0"/>
        <w:autoSpaceDN w:val="0"/>
        <w:adjustRightInd w:val="0"/>
        <w:spacing w:line="360" w:lineRule="auto"/>
        <w:jc w:val="center"/>
        <w:rPr>
          <w:rFonts w:eastAsia="Calibri"/>
          <w:sz w:val="32"/>
          <w:szCs w:val="32"/>
          <w:lang w:val="el-GR"/>
        </w:rPr>
      </w:pPr>
    </w:p>
    <w:p w14:paraId="1750628F" w14:textId="77777777" w:rsidR="00232CAD" w:rsidRPr="00F446F6" w:rsidRDefault="00232CAD" w:rsidP="00232CAD">
      <w:pPr>
        <w:autoSpaceDE w:val="0"/>
        <w:autoSpaceDN w:val="0"/>
        <w:adjustRightInd w:val="0"/>
        <w:spacing w:line="360" w:lineRule="auto"/>
        <w:jc w:val="center"/>
        <w:rPr>
          <w:rFonts w:eastAsia="Calibri"/>
          <w:i/>
          <w:iCs/>
          <w:sz w:val="32"/>
          <w:szCs w:val="32"/>
          <w:lang w:val="el-GR"/>
        </w:rPr>
      </w:pPr>
      <w:r w:rsidRPr="00F446F6">
        <w:rPr>
          <w:rFonts w:eastAsia="Calibri"/>
          <w:i/>
          <w:iCs/>
          <w:sz w:val="32"/>
          <w:szCs w:val="32"/>
          <w:lang w:val="el-GR"/>
        </w:rPr>
        <w:t xml:space="preserve">Επιβλέπων Καθηγητής: </w:t>
      </w:r>
      <w:proofErr w:type="spellStart"/>
      <w:r w:rsidRPr="00F446F6">
        <w:rPr>
          <w:rFonts w:eastAsia="Calibri"/>
          <w:i/>
          <w:iCs/>
          <w:sz w:val="32"/>
          <w:szCs w:val="32"/>
          <w:lang w:val="el-GR"/>
        </w:rPr>
        <w:t>Ταφιάδης</w:t>
      </w:r>
      <w:proofErr w:type="spellEnd"/>
      <w:r w:rsidRPr="00F446F6">
        <w:rPr>
          <w:rFonts w:eastAsia="Calibri"/>
          <w:i/>
          <w:iCs/>
          <w:sz w:val="32"/>
          <w:szCs w:val="32"/>
          <w:lang w:val="el-GR"/>
        </w:rPr>
        <w:t xml:space="preserve"> Διονύσιος</w:t>
      </w:r>
    </w:p>
    <w:p w14:paraId="01E1D86D" w14:textId="77777777" w:rsidR="00232CAD" w:rsidRPr="00F446F6" w:rsidRDefault="00232CAD" w:rsidP="00232CAD">
      <w:pPr>
        <w:autoSpaceDE w:val="0"/>
        <w:autoSpaceDN w:val="0"/>
        <w:adjustRightInd w:val="0"/>
        <w:spacing w:line="360" w:lineRule="auto"/>
        <w:jc w:val="center"/>
        <w:rPr>
          <w:rFonts w:eastAsia="Calibri"/>
          <w:sz w:val="28"/>
          <w:szCs w:val="28"/>
          <w:lang w:val="el-GR"/>
        </w:rPr>
      </w:pPr>
    </w:p>
    <w:p w14:paraId="50388438" w14:textId="77777777" w:rsidR="00232CAD" w:rsidRPr="00F446F6" w:rsidRDefault="00232CAD" w:rsidP="00232CAD">
      <w:pPr>
        <w:autoSpaceDE w:val="0"/>
        <w:autoSpaceDN w:val="0"/>
        <w:adjustRightInd w:val="0"/>
        <w:spacing w:line="360" w:lineRule="auto"/>
        <w:jc w:val="center"/>
        <w:rPr>
          <w:rFonts w:eastAsia="Calibri"/>
          <w:i/>
          <w:iCs/>
          <w:sz w:val="26"/>
          <w:szCs w:val="26"/>
          <w:lang w:val="el-GR"/>
        </w:rPr>
      </w:pPr>
      <w:r w:rsidRPr="00F446F6">
        <w:rPr>
          <w:rFonts w:eastAsia="Calibri"/>
          <w:i/>
          <w:iCs/>
          <w:sz w:val="26"/>
          <w:szCs w:val="26"/>
          <w:lang w:val="el-GR"/>
        </w:rPr>
        <w:t>ΙΩΑΝΝΙΝΑ 2017</w:t>
      </w:r>
    </w:p>
    <w:p w14:paraId="23354226" w14:textId="77777777" w:rsidR="008946C7" w:rsidRPr="00F446F6" w:rsidRDefault="008946C7" w:rsidP="00232CAD">
      <w:pPr>
        <w:autoSpaceDE w:val="0"/>
        <w:autoSpaceDN w:val="0"/>
        <w:adjustRightInd w:val="0"/>
        <w:jc w:val="center"/>
        <w:rPr>
          <w:rFonts w:eastAsia="Calibri"/>
          <w:lang w:val="el-GR"/>
        </w:rPr>
      </w:pPr>
      <w:r w:rsidRPr="00F446F6">
        <w:rPr>
          <w:rFonts w:eastAsia="Calibri"/>
          <w:i/>
          <w:iCs/>
          <w:sz w:val="26"/>
          <w:szCs w:val="26"/>
          <w:lang w:val="el-GR"/>
        </w:rPr>
        <w:br w:type="page"/>
      </w:r>
      <w:bookmarkEnd w:id="2"/>
    </w:p>
    <w:p w14:paraId="4D376234" w14:textId="77777777" w:rsidR="008946C7" w:rsidRPr="00F446F6" w:rsidRDefault="008946C7" w:rsidP="008946C7">
      <w:pPr>
        <w:rPr>
          <w:lang w:val="el-GR"/>
        </w:rPr>
      </w:pPr>
    </w:p>
    <w:p w14:paraId="60BF39C8" w14:textId="77777777" w:rsidR="008946C7" w:rsidRPr="00F446F6" w:rsidRDefault="008946C7" w:rsidP="008946C7">
      <w:pPr>
        <w:rPr>
          <w:lang w:val="el-GR"/>
        </w:rPr>
      </w:pPr>
    </w:p>
    <w:p w14:paraId="2318A625" w14:textId="77777777" w:rsidR="008946C7" w:rsidRPr="00F446F6" w:rsidRDefault="008946C7" w:rsidP="008946C7">
      <w:pPr>
        <w:rPr>
          <w:lang w:val="el-GR"/>
        </w:rPr>
      </w:pPr>
    </w:p>
    <w:p w14:paraId="03AA8FEB" w14:textId="77777777" w:rsidR="008946C7" w:rsidRPr="00F446F6" w:rsidRDefault="008946C7" w:rsidP="008946C7">
      <w:pPr>
        <w:rPr>
          <w:lang w:val="el-GR"/>
        </w:rPr>
      </w:pPr>
    </w:p>
    <w:p w14:paraId="415FDFDF" w14:textId="77777777" w:rsidR="008946C7" w:rsidRPr="00F446F6" w:rsidRDefault="008946C7" w:rsidP="008946C7">
      <w:pPr>
        <w:rPr>
          <w:lang w:val="el-GR"/>
        </w:rPr>
      </w:pPr>
    </w:p>
    <w:p w14:paraId="161C3C04" w14:textId="77777777" w:rsidR="008946C7" w:rsidRPr="00F446F6" w:rsidRDefault="008946C7" w:rsidP="008946C7">
      <w:pPr>
        <w:rPr>
          <w:lang w:val="el-GR"/>
        </w:rPr>
      </w:pPr>
    </w:p>
    <w:p w14:paraId="54371C4D" w14:textId="77777777" w:rsidR="00BF0161" w:rsidRPr="00F446F6" w:rsidRDefault="00BF0161" w:rsidP="008946C7">
      <w:pPr>
        <w:rPr>
          <w:lang w:val="el-GR"/>
        </w:rPr>
      </w:pPr>
    </w:p>
    <w:p w14:paraId="61458E50" w14:textId="77777777" w:rsidR="008946C7" w:rsidRPr="00F446F6" w:rsidRDefault="008946C7" w:rsidP="008946C7">
      <w:pPr>
        <w:rPr>
          <w:lang w:val="el-GR"/>
        </w:rPr>
      </w:pPr>
    </w:p>
    <w:p w14:paraId="447172D2" w14:textId="77777777" w:rsidR="008946C7" w:rsidRPr="00F446F6" w:rsidRDefault="008946C7" w:rsidP="008946C7">
      <w:pPr>
        <w:rPr>
          <w:lang w:val="el-GR"/>
        </w:rPr>
      </w:pPr>
    </w:p>
    <w:p w14:paraId="4F4EC15F" w14:textId="77777777" w:rsidR="00BF0161" w:rsidRPr="00F446F6" w:rsidRDefault="00BF0161" w:rsidP="008946C7">
      <w:pPr>
        <w:rPr>
          <w:lang w:val="el-GR"/>
        </w:rPr>
      </w:pPr>
    </w:p>
    <w:p w14:paraId="1B5D469C" w14:textId="77777777" w:rsidR="00BF0161" w:rsidRPr="00F446F6" w:rsidRDefault="00BF0161" w:rsidP="008946C7">
      <w:pPr>
        <w:rPr>
          <w:lang w:val="el-GR"/>
        </w:rPr>
      </w:pPr>
    </w:p>
    <w:p w14:paraId="646A9421" w14:textId="77777777" w:rsidR="00BF0161" w:rsidRPr="00F446F6" w:rsidRDefault="00BF0161" w:rsidP="008946C7">
      <w:pPr>
        <w:rPr>
          <w:lang w:val="el-GR"/>
        </w:rPr>
      </w:pPr>
    </w:p>
    <w:p w14:paraId="67C19E70" w14:textId="77777777" w:rsidR="00BF0161" w:rsidRPr="00F446F6" w:rsidRDefault="00BF0161" w:rsidP="008946C7">
      <w:pPr>
        <w:rPr>
          <w:lang w:val="el-GR"/>
        </w:rPr>
      </w:pPr>
    </w:p>
    <w:p w14:paraId="09E81079" w14:textId="77777777" w:rsidR="00BF0161" w:rsidRPr="00F446F6" w:rsidRDefault="00BF0161" w:rsidP="008946C7">
      <w:pPr>
        <w:rPr>
          <w:lang w:val="el-GR"/>
        </w:rPr>
      </w:pPr>
    </w:p>
    <w:p w14:paraId="26CCA702" w14:textId="77777777" w:rsidR="00BF0161" w:rsidRPr="00F446F6" w:rsidRDefault="00BF0161" w:rsidP="008946C7">
      <w:pPr>
        <w:rPr>
          <w:lang w:val="el-GR"/>
        </w:rPr>
      </w:pPr>
    </w:p>
    <w:p w14:paraId="142FC249" w14:textId="77777777" w:rsidR="008946C7" w:rsidRPr="00F446F6" w:rsidRDefault="008946C7" w:rsidP="008946C7">
      <w:pPr>
        <w:rPr>
          <w:lang w:val="el-GR"/>
        </w:rPr>
      </w:pPr>
    </w:p>
    <w:p w14:paraId="073D13BC" w14:textId="77777777" w:rsidR="008946C7" w:rsidRPr="00F446F6" w:rsidRDefault="008946C7" w:rsidP="008946C7">
      <w:pPr>
        <w:rPr>
          <w:lang w:val="el-GR"/>
        </w:rPr>
      </w:pPr>
    </w:p>
    <w:p w14:paraId="4D2AC307" w14:textId="77777777" w:rsidR="008946C7" w:rsidRPr="00F446F6" w:rsidRDefault="008946C7" w:rsidP="008946C7">
      <w:pPr>
        <w:rPr>
          <w:lang w:val="el-GR"/>
        </w:rPr>
      </w:pPr>
    </w:p>
    <w:p w14:paraId="7C88B210" w14:textId="77777777" w:rsidR="008946C7" w:rsidRPr="008946C7" w:rsidRDefault="008946C7" w:rsidP="008946C7">
      <w:pPr>
        <w:autoSpaceDE w:val="0"/>
        <w:spacing w:line="360" w:lineRule="auto"/>
        <w:jc w:val="center"/>
        <w:rPr>
          <w:sz w:val="40"/>
          <w:szCs w:val="40"/>
        </w:rPr>
      </w:pPr>
      <w:r w:rsidRPr="008946C7">
        <w:rPr>
          <w:sz w:val="40"/>
          <w:szCs w:val="40"/>
        </w:rPr>
        <w:t>“Validation and Adaptation of Questionnaire for</w:t>
      </w:r>
      <w:r w:rsidR="00610506">
        <w:rPr>
          <w:sz w:val="40"/>
          <w:szCs w:val="40"/>
        </w:rPr>
        <w:t xml:space="preserve"> Self-Awareness of Dysphagia for Head and Neck Cancer Patients</w:t>
      </w:r>
      <w:r w:rsidRPr="008946C7">
        <w:rPr>
          <w:sz w:val="40"/>
          <w:szCs w:val="40"/>
        </w:rPr>
        <w:t>: A Pilot Study in Typical Greek Population”</w:t>
      </w:r>
    </w:p>
    <w:p w14:paraId="23241DCE" w14:textId="77777777" w:rsidR="008946C7" w:rsidRPr="008946C7" w:rsidRDefault="008946C7" w:rsidP="008946C7"/>
    <w:p w14:paraId="3B982368" w14:textId="77777777" w:rsidR="008946C7" w:rsidRPr="008946C7" w:rsidRDefault="008946C7" w:rsidP="008946C7"/>
    <w:p w14:paraId="56930FC4" w14:textId="77777777" w:rsidR="008946C7" w:rsidRPr="008946C7" w:rsidRDefault="008946C7" w:rsidP="008946C7"/>
    <w:p w14:paraId="62D0BAE0" w14:textId="77777777" w:rsidR="008946C7" w:rsidRPr="008946C7" w:rsidRDefault="008946C7" w:rsidP="008946C7"/>
    <w:p w14:paraId="7C9E1A0F" w14:textId="77777777" w:rsidR="008946C7" w:rsidRPr="008946C7" w:rsidRDefault="008946C7" w:rsidP="008946C7"/>
    <w:p w14:paraId="585AA6DC" w14:textId="77777777" w:rsidR="008946C7" w:rsidRPr="008946C7" w:rsidRDefault="008946C7" w:rsidP="008946C7"/>
    <w:p w14:paraId="28C0380A" w14:textId="77777777" w:rsidR="008946C7" w:rsidRDefault="008946C7" w:rsidP="008946C7"/>
    <w:p w14:paraId="7132A39C" w14:textId="77777777" w:rsidR="00232CAD" w:rsidRDefault="00232CAD" w:rsidP="008946C7"/>
    <w:p w14:paraId="3EBB788E" w14:textId="77777777" w:rsidR="00BF0161" w:rsidRDefault="00BF0161" w:rsidP="008946C7"/>
    <w:p w14:paraId="390CB42E" w14:textId="77777777" w:rsidR="00BF0161" w:rsidRDefault="00BF0161" w:rsidP="008946C7"/>
    <w:p w14:paraId="37692553" w14:textId="77777777" w:rsidR="00BF0161" w:rsidRDefault="00BF0161" w:rsidP="008946C7"/>
    <w:p w14:paraId="57C9A81C" w14:textId="77777777" w:rsidR="00BF0161" w:rsidRDefault="00BF0161" w:rsidP="008946C7"/>
    <w:p w14:paraId="6E431488" w14:textId="77777777" w:rsidR="00BF0161" w:rsidRDefault="00BF0161" w:rsidP="008946C7"/>
    <w:p w14:paraId="1E77A7DC" w14:textId="77777777" w:rsidR="00BF0161" w:rsidRDefault="00BF0161" w:rsidP="008946C7"/>
    <w:p w14:paraId="6F6F5F89" w14:textId="77777777" w:rsidR="00BF0161" w:rsidRDefault="00BF0161" w:rsidP="008946C7"/>
    <w:p w14:paraId="1EB108F3" w14:textId="77777777" w:rsidR="00BF0161" w:rsidRDefault="00BF0161" w:rsidP="008946C7"/>
    <w:p w14:paraId="08B127A0" w14:textId="77777777" w:rsidR="00BF0161" w:rsidRDefault="00BF0161" w:rsidP="008946C7"/>
    <w:p w14:paraId="0F49D455" w14:textId="77777777" w:rsidR="00BF0161" w:rsidRDefault="00BF0161" w:rsidP="008946C7"/>
    <w:p w14:paraId="1E6384FE" w14:textId="77777777" w:rsidR="00BF0161" w:rsidRDefault="00BF0161" w:rsidP="008946C7"/>
    <w:p w14:paraId="6AF1BC05" w14:textId="77777777" w:rsidR="00BF0161" w:rsidRDefault="00BF0161" w:rsidP="008946C7"/>
    <w:p w14:paraId="56C6EB0D" w14:textId="77777777" w:rsidR="00232CAD" w:rsidRPr="008946C7" w:rsidRDefault="00232CAD" w:rsidP="008946C7"/>
    <w:p w14:paraId="28342678" w14:textId="77777777" w:rsidR="008946C7" w:rsidRPr="008946C7" w:rsidRDefault="008946C7" w:rsidP="008946C7"/>
    <w:p w14:paraId="73B48DC7" w14:textId="77777777" w:rsidR="008946C7" w:rsidRPr="008946C7" w:rsidRDefault="008946C7" w:rsidP="008946C7"/>
    <w:p w14:paraId="70AFF05E" w14:textId="77777777" w:rsidR="008946C7" w:rsidRPr="008946C7" w:rsidRDefault="008946C7" w:rsidP="008946C7"/>
    <w:p w14:paraId="28A547B4" w14:textId="77777777" w:rsidR="008946C7" w:rsidRPr="00BF0161" w:rsidRDefault="008946C7" w:rsidP="005179EF">
      <w:pPr>
        <w:spacing w:after="120" w:line="360" w:lineRule="auto"/>
        <w:jc w:val="both"/>
        <w:rPr>
          <w:b/>
          <w:sz w:val="28"/>
          <w:szCs w:val="28"/>
          <w:lang w:val="el-GR"/>
        </w:rPr>
      </w:pPr>
      <w:r w:rsidRPr="00BF0161">
        <w:rPr>
          <w:b/>
          <w:sz w:val="28"/>
          <w:szCs w:val="28"/>
          <w:lang w:val="el-GR"/>
        </w:rPr>
        <w:t>Εγκρίθηκε από τριμελή εξεταστική επιτροπή</w:t>
      </w:r>
    </w:p>
    <w:p w14:paraId="67BC7A1D" w14:textId="77777777" w:rsidR="008946C7" w:rsidRPr="00BF0161" w:rsidRDefault="008946C7" w:rsidP="005179EF">
      <w:pPr>
        <w:spacing w:after="120" w:line="360" w:lineRule="auto"/>
        <w:jc w:val="both"/>
        <w:rPr>
          <w:lang w:val="el-GR"/>
        </w:rPr>
      </w:pPr>
      <w:r w:rsidRPr="00BF0161">
        <w:rPr>
          <w:lang w:val="el-GR"/>
        </w:rPr>
        <w:t>Ιωάννινα, 2017</w:t>
      </w:r>
    </w:p>
    <w:p w14:paraId="44A58D71" w14:textId="77777777" w:rsidR="008946C7" w:rsidRPr="00BF0161" w:rsidRDefault="008946C7" w:rsidP="005179EF">
      <w:pPr>
        <w:spacing w:after="120" w:line="360" w:lineRule="auto"/>
        <w:jc w:val="both"/>
        <w:rPr>
          <w:lang w:val="el-GR"/>
        </w:rPr>
      </w:pPr>
    </w:p>
    <w:p w14:paraId="1E2FF8E7" w14:textId="77777777" w:rsidR="008946C7" w:rsidRPr="00BF0161" w:rsidRDefault="008946C7" w:rsidP="005179EF">
      <w:pPr>
        <w:spacing w:after="120" w:line="360" w:lineRule="auto"/>
        <w:jc w:val="both"/>
        <w:rPr>
          <w:b/>
          <w:lang w:val="el-GR"/>
        </w:rPr>
      </w:pPr>
      <w:r w:rsidRPr="00BF0161">
        <w:rPr>
          <w:b/>
          <w:lang w:val="el-GR"/>
        </w:rPr>
        <w:t>ΕΠΙΤΡΟΠΗ ΑΞΙΟΛΟΓΗΣΗΣ</w:t>
      </w:r>
    </w:p>
    <w:p w14:paraId="316C6905" w14:textId="77777777" w:rsidR="008946C7" w:rsidRPr="00BF0161" w:rsidRDefault="008946C7" w:rsidP="005179EF">
      <w:pPr>
        <w:spacing w:after="120" w:line="360" w:lineRule="auto"/>
        <w:jc w:val="both"/>
        <w:rPr>
          <w:b/>
          <w:lang w:val="el-GR"/>
        </w:rPr>
      </w:pPr>
      <w:r w:rsidRPr="00BF0161">
        <w:rPr>
          <w:b/>
          <w:lang w:val="el-GR"/>
        </w:rPr>
        <w:t>1. Επιβλέπων καθηγητής</w:t>
      </w:r>
    </w:p>
    <w:p w14:paraId="2705BA03" w14:textId="77777777" w:rsidR="008946C7" w:rsidRPr="00BF0161" w:rsidRDefault="008946C7" w:rsidP="005179EF">
      <w:pPr>
        <w:spacing w:after="120" w:line="360" w:lineRule="auto"/>
        <w:jc w:val="both"/>
        <w:rPr>
          <w:lang w:val="el-GR"/>
        </w:rPr>
      </w:pPr>
      <w:r w:rsidRPr="00BF0161">
        <w:rPr>
          <w:lang w:val="el-GR"/>
        </w:rPr>
        <w:t xml:space="preserve">Διονύσιος </w:t>
      </w:r>
      <w:proofErr w:type="spellStart"/>
      <w:r w:rsidRPr="00BF0161">
        <w:rPr>
          <w:lang w:val="el-GR"/>
        </w:rPr>
        <w:t>Ταφιάδης</w:t>
      </w:r>
      <w:proofErr w:type="spellEnd"/>
      <w:r w:rsidRPr="00BF0161">
        <w:rPr>
          <w:lang w:val="el-GR"/>
        </w:rPr>
        <w:t>,</w:t>
      </w:r>
    </w:p>
    <w:p w14:paraId="21BDCCB9" w14:textId="77777777" w:rsidR="008946C7" w:rsidRPr="00BF0161" w:rsidRDefault="008946C7" w:rsidP="005179EF">
      <w:pPr>
        <w:spacing w:after="120" w:line="360" w:lineRule="auto"/>
        <w:jc w:val="both"/>
        <w:rPr>
          <w:lang w:val="el-GR"/>
        </w:rPr>
      </w:pPr>
      <w:r w:rsidRPr="00BF0161">
        <w:rPr>
          <w:lang w:val="el-GR"/>
        </w:rPr>
        <w:t xml:space="preserve">Δρ. </w:t>
      </w:r>
      <w:proofErr w:type="spellStart"/>
      <w:r w:rsidRPr="00BF0161">
        <w:rPr>
          <w:lang w:val="el-GR"/>
        </w:rPr>
        <w:t>Λογοπαθολόγος</w:t>
      </w:r>
      <w:proofErr w:type="spellEnd"/>
      <w:r w:rsidRPr="00BF0161">
        <w:rPr>
          <w:lang w:val="el-GR"/>
        </w:rPr>
        <w:t>-Λογοθεραπευτής, Πανεπιστημιακό</w:t>
      </w:r>
      <w:r w:rsidR="006548A5">
        <w:rPr>
          <w:lang w:val="el-GR"/>
        </w:rPr>
        <w:t>ς</w:t>
      </w:r>
      <w:r w:rsidRPr="00BF0161">
        <w:rPr>
          <w:lang w:val="el-GR"/>
        </w:rPr>
        <w:t xml:space="preserve"> Υπότροφος</w:t>
      </w:r>
    </w:p>
    <w:p w14:paraId="0963A190" w14:textId="77777777" w:rsidR="008946C7" w:rsidRPr="00BF0161" w:rsidRDefault="008946C7" w:rsidP="005179EF">
      <w:pPr>
        <w:spacing w:after="120" w:line="360" w:lineRule="auto"/>
        <w:jc w:val="both"/>
        <w:rPr>
          <w:lang w:val="el-GR"/>
        </w:rPr>
      </w:pPr>
    </w:p>
    <w:p w14:paraId="4E39C84F" w14:textId="77777777" w:rsidR="008946C7" w:rsidRPr="00BF0161" w:rsidRDefault="008946C7" w:rsidP="005179EF">
      <w:pPr>
        <w:spacing w:after="120" w:line="360" w:lineRule="auto"/>
        <w:jc w:val="both"/>
        <w:rPr>
          <w:b/>
          <w:lang w:val="el-GR"/>
        </w:rPr>
      </w:pPr>
      <w:r w:rsidRPr="00BF0161">
        <w:rPr>
          <w:b/>
          <w:lang w:val="el-GR"/>
        </w:rPr>
        <w:t>2. Μέλος επιτροπής</w:t>
      </w:r>
    </w:p>
    <w:p w14:paraId="19C664FB" w14:textId="77777777" w:rsidR="008946C7" w:rsidRPr="00BF0161" w:rsidRDefault="008946C7" w:rsidP="005179EF">
      <w:pPr>
        <w:spacing w:after="120" w:line="360" w:lineRule="auto"/>
        <w:jc w:val="both"/>
        <w:rPr>
          <w:lang w:val="el-GR"/>
        </w:rPr>
      </w:pPr>
      <w:r w:rsidRPr="00BF0161">
        <w:rPr>
          <w:lang w:val="el-GR"/>
        </w:rPr>
        <w:t xml:space="preserve">Ναυσικά </w:t>
      </w:r>
      <w:proofErr w:type="spellStart"/>
      <w:r w:rsidRPr="00BF0161">
        <w:rPr>
          <w:lang w:val="el-GR"/>
        </w:rPr>
        <w:t>Ζιάβρα</w:t>
      </w:r>
      <w:proofErr w:type="spellEnd"/>
      <w:r w:rsidRPr="00BF0161">
        <w:rPr>
          <w:lang w:val="el-GR"/>
        </w:rPr>
        <w:t>,</w:t>
      </w:r>
    </w:p>
    <w:p w14:paraId="6B1CA256" w14:textId="77777777" w:rsidR="008946C7" w:rsidRPr="00BF0161" w:rsidRDefault="008946C7" w:rsidP="005179EF">
      <w:pPr>
        <w:spacing w:after="120" w:line="360" w:lineRule="auto"/>
        <w:jc w:val="both"/>
        <w:rPr>
          <w:lang w:val="el-GR"/>
        </w:rPr>
      </w:pPr>
      <w:r w:rsidRPr="00BF0161">
        <w:rPr>
          <w:lang w:val="el-GR"/>
        </w:rPr>
        <w:t>Δρ. Χειρούργος-ΩΡΛ, Καθηγήτρια</w:t>
      </w:r>
    </w:p>
    <w:p w14:paraId="448C9D13" w14:textId="77777777" w:rsidR="008946C7" w:rsidRPr="00BF0161" w:rsidRDefault="008946C7" w:rsidP="005179EF">
      <w:pPr>
        <w:spacing w:after="120" w:line="360" w:lineRule="auto"/>
        <w:jc w:val="both"/>
        <w:rPr>
          <w:lang w:val="el-GR"/>
        </w:rPr>
      </w:pPr>
    </w:p>
    <w:p w14:paraId="6172C807" w14:textId="77777777" w:rsidR="008946C7" w:rsidRPr="00BF0161" w:rsidRDefault="008946C7" w:rsidP="005179EF">
      <w:pPr>
        <w:spacing w:after="120" w:line="360" w:lineRule="auto"/>
        <w:jc w:val="both"/>
        <w:rPr>
          <w:b/>
          <w:lang w:val="el-GR"/>
        </w:rPr>
      </w:pPr>
      <w:r w:rsidRPr="00BF0161">
        <w:rPr>
          <w:b/>
          <w:lang w:val="el-GR"/>
        </w:rPr>
        <w:t>3. Μέλος επιτροπής</w:t>
      </w:r>
    </w:p>
    <w:p w14:paraId="0B70A47D" w14:textId="77777777" w:rsidR="008946C7" w:rsidRPr="00BF0161" w:rsidRDefault="008946C7" w:rsidP="005179EF">
      <w:pPr>
        <w:spacing w:after="120" w:line="360" w:lineRule="auto"/>
        <w:jc w:val="both"/>
        <w:rPr>
          <w:lang w:val="el-GR"/>
        </w:rPr>
      </w:pPr>
      <w:r w:rsidRPr="00BF0161">
        <w:rPr>
          <w:lang w:val="el-GR"/>
        </w:rPr>
        <w:t>Άγγελος Παπαδόπουλος,</w:t>
      </w:r>
    </w:p>
    <w:p w14:paraId="7B63111E" w14:textId="77777777" w:rsidR="008946C7" w:rsidRPr="00BF0161" w:rsidRDefault="008946C7" w:rsidP="005179EF">
      <w:pPr>
        <w:spacing w:after="120" w:line="360" w:lineRule="auto"/>
        <w:jc w:val="both"/>
        <w:rPr>
          <w:lang w:val="el-GR"/>
        </w:rPr>
      </w:pPr>
      <w:r w:rsidRPr="0058658A">
        <w:t>MSc</w:t>
      </w:r>
      <w:r w:rsidRPr="00BF0161">
        <w:rPr>
          <w:lang w:val="el-GR"/>
        </w:rPr>
        <w:t>. Λογοθεραπευτής, Εργαστηριακός Συνεργάτης</w:t>
      </w:r>
    </w:p>
    <w:p w14:paraId="2294B791" w14:textId="77777777" w:rsidR="008946C7" w:rsidRPr="00BF0161" w:rsidRDefault="008946C7" w:rsidP="005179EF">
      <w:pPr>
        <w:spacing w:after="120" w:line="360" w:lineRule="auto"/>
        <w:jc w:val="both"/>
        <w:rPr>
          <w:lang w:val="el-GR"/>
        </w:rPr>
      </w:pPr>
    </w:p>
    <w:p w14:paraId="3E52FF55" w14:textId="77777777" w:rsidR="008946C7" w:rsidRPr="00BF0161" w:rsidRDefault="008946C7" w:rsidP="005179EF">
      <w:pPr>
        <w:spacing w:after="120" w:line="360" w:lineRule="auto"/>
        <w:jc w:val="both"/>
        <w:rPr>
          <w:b/>
          <w:lang w:val="el-GR"/>
        </w:rPr>
      </w:pPr>
      <w:r w:rsidRPr="00BF0161">
        <w:rPr>
          <w:b/>
          <w:lang w:val="el-GR"/>
        </w:rPr>
        <w:t>Ο/Η Προϊστάμενος/η του Τμήματος</w:t>
      </w:r>
    </w:p>
    <w:p w14:paraId="111A2890" w14:textId="77777777" w:rsidR="008946C7" w:rsidRPr="00BF0161" w:rsidRDefault="008946C7" w:rsidP="005179EF">
      <w:pPr>
        <w:spacing w:after="120" w:line="360" w:lineRule="auto"/>
        <w:jc w:val="both"/>
        <w:rPr>
          <w:lang w:val="el-GR"/>
        </w:rPr>
      </w:pPr>
      <w:r w:rsidRPr="00BF0161">
        <w:rPr>
          <w:lang w:val="el-GR"/>
        </w:rPr>
        <w:lastRenderedPageBreak/>
        <w:t xml:space="preserve">Ναυσικά </w:t>
      </w:r>
      <w:proofErr w:type="spellStart"/>
      <w:r w:rsidRPr="00BF0161">
        <w:rPr>
          <w:lang w:val="el-GR"/>
        </w:rPr>
        <w:t>Ζιάβρα</w:t>
      </w:r>
      <w:proofErr w:type="spellEnd"/>
      <w:r w:rsidRPr="00BF0161">
        <w:rPr>
          <w:lang w:val="el-GR"/>
        </w:rPr>
        <w:t>,</w:t>
      </w:r>
    </w:p>
    <w:p w14:paraId="3392D722" w14:textId="77777777" w:rsidR="008946C7" w:rsidRPr="00BF0161" w:rsidRDefault="008946C7" w:rsidP="005179EF">
      <w:pPr>
        <w:spacing w:after="120" w:line="360" w:lineRule="auto"/>
        <w:jc w:val="both"/>
        <w:rPr>
          <w:lang w:val="el-GR"/>
        </w:rPr>
      </w:pPr>
      <w:r w:rsidRPr="00BF0161">
        <w:rPr>
          <w:lang w:val="el-GR"/>
        </w:rPr>
        <w:t>Δρ. Χειρούργος-ΩΡΛ, Καθηγήτρια</w:t>
      </w:r>
    </w:p>
    <w:p w14:paraId="2353FD62" w14:textId="77777777" w:rsidR="008946C7" w:rsidRPr="00BF0161" w:rsidRDefault="008946C7" w:rsidP="005179EF">
      <w:pPr>
        <w:spacing w:after="120" w:line="360" w:lineRule="auto"/>
        <w:jc w:val="both"/>
        <w:rPr>
          <w:lang w:val="el-GR"/>
        </w:rPr>
      </w:pPr>
      <w:r w:rsidRPr="00BF0161">
        <w:rPr>
          <w:lang w:val="el-GR"/>
        </w:rPr>
        <w:t>Υπογραφή</w:t>
      </w:r>
    </w:p>
    <w:p w14:paraId="682C5DC2" w14:textId="77777777" w:rsidR="008946C7" w:rsidRPr="00BF0161" w:rsidRDefault="008946C7" w:rsidP="005179EF">
      <w:pPr>
        <w:spacing w:after="120" w:line="360" w:lineRule="auto"/>
        <w:jc w:val="both"/>
        <w:rPr>
          <w:lang w:val="el-GR"/>
        </w:rPr>
      </w:pPr>
    </w:p>
    <w:p w14:paraId="0915CE6C" w14:textId="77777777" w:rsidR="00610506" w:rsidRPr="00BF0161" w:rsidRDefault="00610506" w:rsidP="008946C7">
      <w:pPr>
        <w:spacing w:line="360" w:lineRule="auto"/>
        <w:jc w:val="both"/>
        <w:rPr>
          <w:lang w:val="el-GR"/>
        </w:rPr>
      </w:pPr>
    </w:p>
    <w:p w14:paraId="249CAAC7" w14:textId="77777777" w:rsidR="00610506" w:rsidRDefault="00610506" w:rsidP="008946C7">
      <w:pPr>
        <w:spacing w:line="360" w:lineRule="auto"/>
        <w:jc w:val="both"/>
        <w:rPr>
          <w:lang w:val="el-GR"/>
        </w:rPr>
      </w:pPr>
    </w:p>
    <w:p w14:paraId="295047D8" w14:textId="77777777" w:rsidR="00BF0161" w:rsidRDefault="00BF0161" w:rsidP="008946C7">
      <w:pPr>
        <w:spacing w:line="360" w:lineRule="auto"/>
        <w:jc w:val="both"/>
        <w:rPr>
          <w:lang w:val="el-GR"/>
        </w:rPr>
      </w:pPr>
    </w:p>
    <w:p w14:paraId="07E1021D" w14:textId="77777777" w:rsidR="00BF0161" w:rsidRDefault="00BF0161" w:rsidP="008946C7">
      <w:pPr>
        <w:spacing w:line="360" w:lineRule="auto"/>
        <w:jc w:val="both"/>
        <w:rPr>
          <w:lang w:val="el-GR"/>
        </w:rPr>
      </w:pPr>
    </w:p>
    <w:p w14:paraId="5E1AC170" w14:textId="77777777" w:rsidR="00BF0161" w:rsidRDefault="00BF0161" w:rsidP="008946C7">
      <w:pPr>
        <w:spacing w:line="360" w:lineRule="auto"/>
        <w:jc w:val="both"/>
        <w:rPr>
          <w:lang w:val="el-GR"/>
        </w:rPr>
      </w:pPr>
    </w:p>
    <w:p w14:paraId="437BDAA7" w14:textId="77777777" w:rsidR="007C5F67" w:rsidRPr="00BF0161" w:rsidRDefault="007C5F67" w:rsidP="008946C7">
      <w:pPr>
        <w:spacing w:line="360" w:lineRule="auto"/>
        <w:jc w:val="both"/>
        <w:rPr>
          <w:lang w:val="el-GR"/>
        </w:rPr>
      </w:pPr>
    </w:p>
    <w:p w14:paraId="018000E7" w14:textId="77777777" w:rsidR="00AB58A7" w:rsidRDefault="00AB58A7" w:rsidP="005179EF">
      <w:pPr>
        <w:spacing w:after="120" w:line="360" w:lineRule="auto"/>
        <w:jc w:val="both"/>
        <w:rPr>
          <w:lang w:val="el-GR"/>
        </w:rPr>
        <w:sectPr w:rsidR="00AB58A7" w:rsidSect="003A65E6">
          <w:footerReference w:type="default" r:id="rId9"/>
          <w:pgSz w:w="11906" w:h="16838"/>
          <w:pgMar w:top="1440" w:right="1440" w:bottom="1440" w:left="1797" w:header="0" w:footer="0" w:gutter="0"/>
          <w:pgNumType w:fmt="upperRoman" w:start="1"/>
          <w:cols w:space="708"/>
          <w:formProt w:val="0"/>
          <w:docGrid w:linePitch="360" w:charSpace="-2049"/>
        </w:sectPr>
      </w:pPr>
    </w:p>
    <w:p w14:paraId="26AF554B" w14:textId="77777777" w:rsidR="008946C7" w:rsidRPr="00BF0161" w:rsidRDefault="008946C7" w:rsidP="005179EF">
      <w:pPr>
        <w:spacing w:after="120" w:line="360" w:lineRule="auto"/>
        <w:jc w:val="both"/>
        <w:rPr>
          <w:lang w:val="el-GR"/>
        </w:rPr>
      </w:pPr>
      <w:r w:rsidRPr="00BF0161">
        <w:rPr>
          <w:lang w:val="el-GR"/>
        </w:rPr>
        <w:lastRenderedPageBreak/>
        <w:t xml:space="preserve">© </w:t>
      </w:r>
      <w:r w:rsidR="00610506" w:rsidRPr="00BF0161">
        <w:rPr>
          <w:lang w:val="el-GR"/>
        </w:rPr>
        <w:t>Γιωτίτσα,</w:t>
      </w:r>
      <w:r w:rsidR="00D979B3" w:rsidRPr="00BF0161">
        <w:rPr>
          <w:lang w:val="el-GR"/>
        </w:rPr>
        <w:t xml:space="preserve"> Δουλγέρη</w:t>
      </w:r>
      <w:r w:rsidR="00231FEA">
        <w:rPr>
          <w:lang w:val="el-GR"/>
        </w:rPr>
        <w:t>-</w:t>
      </w:r>
      <w:proofErr w:type="spellStart"/>
      <w:r w:rsidR="00C84D85">
        <w:rPr>
          <w:lang w:val="el-GR"/>
        </w:rPr>
        <w:t>Καρακόλιου</w:t>
      </w:r>
      <w:proofErr w:type="spellEnd"/>
      <w:r w:rsidR="00D979B3" w:rsidRPr="00BF0161">
        <w:rPr>
          <w:lang w:val="el-GR"/>
        </w:rPr>
        <w:t xml:space="preserve">, </w:t>
      </w:r>
      <w:proofErr w:type="spellStart"/>
      <w:r w:rsidR="00D979B3" w:rsidRPr="00BF0161">
        <w:rPr>
          <w:lang w:val="el-GR"/>
        </w:rPr>
        <w:t>Δρουγουνάκη</w:t>
      </w:r>
      <w:proofErr w:type="spellEnd"/>
      <w:r w:rsidR="00D979B3" w:rsidRPr="00BF0161">
        <w:rPr>
          <w:lang w:val="el-GR"/>
        </w:rPr>
        <w:t xml:space="preserve">, </w:t>
      </w:r>
      <w:proofErr w:type="spellStart"/>
      <w:r w:rsidR="00610506" w:rsidRPr="00BF0161">
        <w:rPr>
          <w:lang w:val="el-GR"/>
        </w:rPr>
        <w:t>Ζαϊμίδου</w:t>
      </w:r>
      <w:proofErr w:type="spellEnd"/>
      <w:r w:rsidR="00610506" w:rsidRPr="00BF0161">
        <w:rPr>
          <w:lang w:val="el-GR"/>
        </w:rPr>
        <w:t xml:space="preserve"> </w:t>
      </w:r>
      <w:r w:rsidRPr="00BF0161">
        <w:rPr>
          <w:lang w:val="el-GR"/>
        </w:rPr>
        <w:t>2017.</w:t>
      </w:r>
    </w:p>
    <w:p w14:paraId="2F67DAA4" w14:textId="77777777" w:rsidR="008946C7" w:rsidRPr="00BF0161" w:rsidRDefault="008946C7" w:rsidP="005179EF">
      <w:pPr>
        <w:spacing w:after="120" w:line="360" w:lineRule="auto"/>
        <w:jc w:val="both"/>
        <w:rPr>
          <w:lang w:val="el-GR"/>
        </w:rPr>
      </w:pPr>
      <w:r w:rsidRPr="00BF0161">
        <w:rPr>
          <w:lang w:val="el-GR"/>
        </w:rPr>
        <w:t xml:space="preserve">Με επιφύλαξη παντός δικαιώματος. </w:t>
      </w:r>
      <w:r w:rsidRPr="0058658A">
        <w:t>All</w:t>
      </w:r>
      <w:r w:rsidRPr="00BF0161">
        <w:rPr>
          <w:lang w:val="el-GR"/>
        </w:rPr>
        <w:t xml:space="preserve"> </w:t>
      </w:r>
      <w:r w:rsidRPr="0058658A">
        <w:t>rights</w:t>
      </w:r>
      <w:r w:rsidRPr="00BF0161">
        <w:rPr>
          <w:lang w:val="el-GR"/>
        </w:rPr>
        <w:t xml:space="preserve"> </w:t>
      </w:r>
      <w:r w:rsidRPr="0058658A">
        <w:t>reserved</w:t>
      </w:r>
    </w:p>
    <w:p w14:paraId="3E3B93FE" w14:textId="77777777" w:rsidR="008946C7" w:rsidRPr="00BF0161" w:rsidRDefault="008946C7" w:rsidP="008946C7">
      <w:pPr>
        <w:rPr>
          <w:lang w:val="el-GR"/>
        </w:rPr>
      </w:pPr>
    </w:p>
    <w:p w14:paraId="0EA94145" w14:textId="77777777" w:rsidR="008946C7" w:rsidRPr="00BF0161" w:rsidRDefault="008946C7" w:rsidP="008946C7">
      <w:pPr>
        <w:autoSpaceDE w:val="0"/>
        <w:autoSpaceDN w:val="0"/>
        <w:adjustRightInd w:val="0"/>
        <w:spacing w:line="360" w:lineRule="auto"/>
        <w:jc w:val="both"/>
        <w:rPr>
          <w:rFonts w:eastAsia="Calibri"/>
          <w:iCs/>
          <w:sz w:val="26"/>
          <w:szCs w:val="26"/>
          <w:lang w:val="el-GR"/>
        </w:rPr>
      </w:pPr>
    </w:p>
    <w:p w14:paraId="0E39A286" w14:textId="77777777" w:rsidR="008946C7" w:rsidRPr="00BF0161" w:rsidRDefault="008946C7" w:rsidP="008946C7">
      <w:pPr>
        <w:autoSpaceDE w:val="0"/>
        <w:autoSpaceDN w:val="0"/>
        <w:adjustRightInd w:val="0"/>
        <w:spacing w:line="360" w:lineRule="auto"/>
        <w:jc w:val="both"/>
        <w:rPr>
          <w:rFonts w:eastAsia="Calibri"/>
          <w:iCs/>
          <w:sz w:val="26"/>
          <w:szCs w:val="26"/>
          <w:lang w:val="el-GR"/>
        </w:rPr>
      </w:pPr>
    </w:p>
    <w:p w14:paraId="541CB9D5" w14:textId="77777777" w:rsidR="008946C7" w:rsidRPr="00BF0161" w:rsidRDefault="008946C7" w:rsidP="008946C7">
      <w:pPr>
        <w:autoSpaceDE w:val="0"/>
        <w:autoSpaceDN w:val="0"/>
        <w:adjustRightInd w:val="0"/>
        <w:spacing w:line="360" w:lineRule="auto"/>
        <w:jc w:val="both"/>
        <w:rPr>
          <w:rFonts w:eastAsia="Calibri"/>
          <w:iCs/>
          <w:sz w:val="26"/>
          <w:szCs w:val="26"/>
          <w:lang w:val="el-GR"/>
        </w:rPr>
      </w:pPr>
    </w:p>
    <w:p w14:paraId="6D120155" w14:textId="77777777" w:rsidR="008946C7" w:rsidRPr="00BF0161" w:rsidRDefault="008946C7" w:rsidP="008946C7">
      <w:pPr>
        <w:autoSpaceDE w:val="0"/>
        <w:autoSpaceDN w:val="0"/>
        <w:adjustRightInd w:val="0"/>
        <w:spacing w:line="360" w:lineRule="auto"/>
        <w:jc w:val="both"/>
        <w:rPr>
          <w:rFonts w:eastAsia="Calibri"/>
          <w:iCs/>
          <w:sz w:val="26"/>
          <w:szCs w:val="26"/>
          <w:lang w:val="el-GR"/>
        </w:rPr>
      </w:pPr>
    </w:p>
    <w:p w14:paraId="66CA1BBA" w14:textId="77777777" w:rsidR="008946C7" w:rsidRPr="00BF0161" w:rsidRDefault="008946C7" w:rsidP="008946C7">
      <w:pPr>
        <w:autoSpaceDE w:val="0"/>
        <w:autoSpaceDN w:val="0"/>
        <w:adjustRightInd w:val="0"/>
        <w:spacing w:line="360" w:lineRule="auto"/>
        <w:jc w:val="both"/>
        <w:rPr>
          <w:rFonts w:eastAsia="Calibri"/>
          <w:iCs/>
          <w:sz w:val="26"/>
          <w:szCs w:val="26"/>
          <w:lang w:val="el-GR"/>
        </w:rPr>
      </w:pPr>
    </w:p>
    <w:p w14:paraId="7296A687" w14:textId="77777777" w:rsidR="008946C7" w:rsidRPr="00BF0161" w:rsidRDefault="008946C7" w:rsidP="008946C7">
      <w:pPr>
        <w:autoSpaceDE w:val="0"/>
        <w:autoSpaceDN w:val="0"/>
        <w:adjustRightInd w:val="0"/>
        <w:spacing w:line="360" w:lineRule="auto"/>
        <w:jc w:val="both"/>
        <w:rPr>
          <w:rFonts w:eastAsia="Calibri"/>
          <w:iCs/>
          <w:sz w:val="26"/>
          <w:szCs w:val="26"/>
          <w:lang w:val="el-GR"/>
        </w:rPr>
      </w:pPr>
    </w:p>
    <w:p w14:paraId="187F81D5" w14:textId="77777777" w:rsidR="008946C7" w:rsidRPr="00BF0161" w:rsidRDefault="008946C7" w:rsidP="008946C7">
      <w:pPr>
        <w:autoSpaceDE w:val="0"/>
        <w:autoSpaceDN w:val="0"/>
        <w:adjustRightInd w:val="0"/>
        <w:spacing w:line="360" w:lineRule="auto"/>
        <w:jc w:val="both"/>
        <w:rPr>
          <w:rFonts w:eastAsia="Calibri"/>
          <w:iCs/>
          <w:sz w:val="26"/>
          <w:szCs w:val="26"/>
          <w:lang w:val="el-GR"/>
        </w:rPr>
      </w:pPr>
    </w:p>
    <w:p w14:paraId="6EA4745C" w14:textId="77777777" w:rsidR="008946C7" w:rsidRPr="00BF0161" w:rsidRDefault="008946C7" w:rsidP="008946C7">
      <w:pPr>
        <w:autoSpaceDE w:val="0"/>
        <w:autoSpaceDN w:val="0"/>
        <w:adjustRightInd w:val="0"/>
        <w:spacing w:line="360" w:lineRule="auto"/>
        <w:jc w:val="both"/>
        <w:rPr>
          <w:rFonts w:eastAsia="Calibri"/>
          <w:iCs/>
          <w:sz w:val="26"/>
          <w:szCs w:val="26"/>
          <w:lang w:val="el-GR"/>
        </w:rPr>
      </w:pPr>
    </w:p>
    <w:p w14:paraId="3610DF2A" w14:textId="77777777" w:rsidR="008946C7" w:rsidRPr="00BF0161" w:rsidRDefault="008946C7" w:rsidP="008946C7">
      <w:pPr>
        <w:autoSpaceDE w:val="0"/>
        <w:autoSpaceDN w:val="0"/>
        <w:adjustRightInd w:val="0"/>
        <w:spacing w:line="360" w:lineRule="auto"/>
        <w:jc w:val="both"/>
        <w:rPr>
          <w:rFonts w:eastAsia="Calibri"/>
          <w:iCs/>
          <w:sz w:val="26"/>
          <w:szCs w:val="26"/>
          <w:lang w:val="el-GR"/>
        </w:rPr>
      </w:pPr>
    </w:p>
    <w:p w14:paraId="404E1DE8" w14:textId="77777777" w:rsidR="008946C7" w:rsidRPr="00BF0161" w:rsidRDefault="008946C7" w:rsidP="008946C7">
      <w:pPr>
        <w:autoSpaceDE w:val="0"/>
        <w:autoSpaceDN w:val="0"/>
        <w:adjustRightInd w:val="0"/>
        <w:spacing w:line="360" w:lineRule="auto"/>
        <w:jc w:val="both"/>
        <w:rPr>
          <w:rFonts w:eastAsia="Calibri"/>
          <w:iCs/>
          <w:sz w:val="26"/>
          <w:szCs w:val="26"/>
          <w:lang w:val="el-GR"/>
        </w:rPr>
      </w:pPr>
    </w:p>
    <w:p w14:paraId="0FDE2A58" w14:textId="77777777" w:rsidR="008946C7" w:rsidRPr="00BF0161" w:rsidRDefault="008946C7" w:rsidP="008946C7">
      <w:pPr>
        <w:autoSpaceDE w:val="0"/>
        <w:autoSpaceDN w:val="0"/>
        <w:adjustRightInd w:val="0"/>
        <w:spacing w:line="360" w:lineRule="auto"/>
        <w:jc w:val="both"/>
        <w:rPr>
          <w:rFonts w:eastAsia="Calibri"/>
          <w:iCs/>
          <w:sz w:val="26"/>
          <w:szCs w:val="26"/>
          <w:lang w:val="el-GR"/>
        </w:rPr>
      </w:pPr>
    </w:p>
    <w:p w14:paraId="590B3C5F" w14:textId="77777777" w:rsidR="008946C7" w:rsidRPr="00BF0161" w:rsidRDefault="008946C7" w:rsidP="008946C7">
      <w:pPr>
        <w:autoSpaceDE w:val="0"/>
        <w:autoSpaceDN w:val="0"/>
        <w:adjustRightInd w:val="0"/>
        <w:spacing w:line="360" w:lineRule="auto"/>
        <w:jc w:val="both"/>
        <w:rPr>
          <w:rFonts w:eastAsia="Calibri"/>
          <w:iCs/>
          <w:sz w:val="26"/>
          <w:szCs w:val="26"/>
          <w:lang w:val="el-GR"/>
        </w:rPr>
      </w:pPr>
    </w:p>
    <w:p w14:paraId="1F17F084" w14:textId="77777777" w:rsidR="008946C7" w:rsidRPr="00BF0161" w:rsidRDefault="008946C7" w:rsidP="008946C7">
      <w:pPr>
        <w:autoSpaceDE w:val="0"/>
        <w:autoSpaceDN w:val="0"/>
        <w:adjustRightInd w:val="0"/>
        <w:spacing w:line="360" w:lineRule="auto"/>
        <w:jc w:val="both"/>
        <w:rPr>
          <w:rFonts w:eastAsia="Calibri"/>
          <w:iCs/>
          <w:sz w:val="26"/>
          <w:szCs w:val="26"/>
          <w:lang w:val="el-GR"/>
        </w:rPr>
      </w:pPr>
    </w:p>
    <w:p w14:paraId="7472AFEC" w14:textId="77777777" w:rsidR="008946C7" w:rsidRPr="00BF0161" w:rsidRDefault="008946C7" w:rsidP="008946C7">
      <w:pPr>
        <w:autoSpaceDE w:val="0"/>
        <w:autoSpaceDN w:val="0"/>
        <w:adjustRightInd w:val="0"/>
        <w:spacing w:line="360" w:lineRule="auto"/>
        <w:jc w:val="both"/>
        <w:rPr>
          <w:rFonts w:eastAsia="Calibri"/>
          <w:iCs/>
          <w:sz w:val="26"/>
          <w:szCs w:val="26"/>
          <w:lang w:val="el-GR"/>
        </w:rPr>
      </w:pPr>
    </w:p>
    <w:p w14:paraId="6ED3E4DF" w14:textId="77777777" w:rsidR="008946C7" w:rsidRPr="00BF0161" w:rsidRDefault="008946C7" w:rsidP="008946C7">
      <w:pPr>
        <w:autoSpaceDE w:val="0"/>
        <w:autoSpaceDN w:val="0"/>
        <w:adjustRightInd w:val="0"/>
        <w:spacing w:line="360" w:lineRule="auto"/>
        <w:jc w:val="both"/>
        <w:rPr>
          <w:rFonts w:eastAsia="Calibri"/>
          <w:iCs/>
          <w:sz w:val="26"/>
          <w:szCs w:val="26"/>
          <w:lang w:val="el-GR"/>
        </w:rPr>
      </w:pPr>
    </w:p>
    <w:p w14:paraId="52002DD4" w14:textId="77777777" w:rsidR="008946C7" w:rsidRPr="00BF0161" w:rsidRDefault="008946C7" w:rsidP="008946C7">
      <w:pPr>
        <w:autoSpaceDE w:val="0"/>
        <w:autoSpaceDN w:val="0"/>
        <w:adjustRightInd w:val="0"/>
        <w:spacing w:line="360" w:lineRule="auto"/>
        <w:jc w:val="both"/>
        <w:rPr>
          <w:rFonts w:eastAsia="Calibri"/>
          <w:iCs/>
          <w:sz w:val="26"/>
          <w:szCs w:val="26"/>
          <w:lang w:val="el-GR"/>
        </w:rPr>
      </w:pPr>
    </w:p>
    <w:p w14:paraId="6BEB10BA" w14:textId="77777777" w:rsidR="008946C7" w:rsidRPr="00BF0161" w:rsidRDefault="008946C7" w:rsidP="008946C7">
      <w:pPr>
        <w:autoSpaceDE w:val="0"/>
        <w:autoSpaceDN w:val="0"/>
        <w:adjustRightInd w:val="0"/>
        <w:spacing w:line="360" w:lineRule="auto"/>
        <w:jc w:val="both"/>
        <w:rPr>
          <w:rFonts w:eastAsia="Calibri"/>
          <w:iCs/>
          <w:sz w:val="26"/>
          <w:szCs w:val="26"/>
          <w:lang w:val="el-GR"/>
        </w:rPr>
      </w:pPr>
    </w:p>
    <w:p w14:paraId="33EDB34C" w14:textId="77777777" w:rsidR="008946C7" w:rsidRPr="00BF0161" w:rsidRDefault="008946C7" w:rsidP="008946C7">
      <w:pPr>
        <w:autoSpaceDE w:val="0"/>
        <w:autoSpaceDN w:val="0"/>
        <w:adjustRightInd w:val="0"/>
        <w:spacing w:line="360" w:lineRule="auto"/>
        <w:jc w:val="both"/>
        <w:rPr>
          <w:rFonts w:eastAsia="Calibri"/>
          <w:iCs/>
          <w:sz w:val="26"/>
          <w:szCs w:val="26"/>
          <w:lang w:val="el-GR"/>
        </w:rPr>
      </w:pPr>
    </w:p>
    <w:p w14:paraId="41042AAC" w14:textId="77777777" w:rsidR="008946C7" w:rsidRPr="00BF0161" w:rsidRDefault="008946C7" w:rsidP="008946C7">
      <w:pPr>
        <w:autoSpaceDE w:val="0"/>
        <w:autoSpaceDN w:val="0"/>
        <w:adjustRightInd w:val="0"/>
        <w:spacing w:line="360" w:lineRule="auto"/>
        <w:jc w:val="both"/>
        <w:rPr>
          <w:rFonts w:eastAsia="Calibri"/>
          <w:iCs/>
          <w:sz w:val="26"/>
          <w:szCs w:val="26"/>
          <w:lang w:val="el-GR"/>
        </w:rPr>
      </w:pPr>
    </w:p>
    <w:p w14:paraId="57E5EDF0" w14:textId="77777777" w:rsidR="008946C7" w:rsidRPr="00BF0161" w:rsidRDefault="008946C7" w:rsidP="008946C7">
      <w:pPr>
        <w:autoSpaceDE w:val="0"/>
        <w:autoSpaceDN w:val="0"/>
        <w:adjustRightInd w:val="0"/>
        <w:spacing w:line="360" w:lineRule="auto"/>
        <w:jc w:val="both"/>
        <w:rPr>
          <w:rFonts w:eastAsia="Calibri"/>
          <w:iCs/>
          <w:sz w:val="26"/>
          <w:szCs w:val="26"/>
          <w:lang w:val="el-GR"/>
        </w:rPr>
      </w:pPr>
    </w:p>
    <w:p w14:paraId="2AE5E7C8" w14:textId="77777777" w:rsidR="008946C7" w:rsidRPr="00BF0161" w:rsidRDefault="008946C7" w:rsidP="008946C7">
      <w:pPr>
        <w:autoSpaceDE w:val="0"/>
        <w:autoSpaceDN w:val="0"/>
        <w:adjustRightInd w:val="0"/>
        <w:spacing w:line="360" w:lineRule="auto"/>
        <w:jc w:val="both"/>
        <w:rPr>
          <w:rFonts w:eastAsia="Calibri"/>
          <w:iCs/>
          <w:sz w:val="26"/>
          <w:szCs w:val="26"/>
          <w:lang w:val="el-GR"/>
        </w:rPr>
      </w:pPr>
    </w:p>
    <w:p w14:paraId="50F9A418" w14:textId="77777777" w:rsidR="00610506" w:rsidRDefault="00610506" w:rsidP="008946C7">
      <w:pPr>
        <w:autoSpaceDE w:val="0"/>
        <w:autoSpaceDN w:val="0"/>
        <w:adjustRightInd w:val="0"/>
        <w:spacing w:line="360" w:lineRule="auto"/>
        <w:jc w:val="both"/>
        <w:rPr>
          <w:rFonts w:eastAsia="Calibri"/>
          <w:iCs/>
          <w:sz w:val="26"/>
          <w:szCs w:val="26"/>
          <w:lang w:val="el-GR"/>
        </w:rPr>
      </w:pPr>
    </w:p>
    <w:p w14:paraId="14190EA7" w14:textId="77777777" w:rsidR="007C5F67" w:rsidRDefault="007C5F67" w:rsidP="008946C7">
      <w:pPr>
        <w:autoSpaceDE w:val="0"/>
        <w:autoSpaceDN w:val="0"/>
        <w:adjustRightInd w:val="0"/>
        <w:spacing w:line="360" w:lineRule="auto"/>
        <w:jc w:val="both"/>
        <w:rPr>
          <w:rFonts w:eastAsia="Calibri"/>
          <w:iCs/>
          <w:sz w:val="26"/>
          <w:szCs w:val="26"/>
          <w:lang w:val="el-GR"/>
        </w:rPr>
      </w:pPr>
    </w:p>
    <w:p w14:paraId="2053DFA8" w14:textId="77777777" w:rsidR="007C5F67" w:rsidRDefault="007C5F67" w:rsidP="008946C7">
      <w:pPr>
        <w:autoSpaceDE w:val="0"/>
        <w:autoSpaceDN w:val="0"/>
        <w:adjustRightInd w:val="0"/>
        <w:spacing w:line="360" w:lineRule="auto"/>
        <w:jc w:val="both"/>
        <w:rPr>
          <w:rFonts w:eastAsia="Calibri"/>
          <w:iCs/>
          <w:sz w:val="26"/>
          <w:szCs w:val="26"/>
          <w:lang w:val="el-GR"/>
        </w:rPr>
      </w:pPr>
    </w:p>
    <w:p w14:paraId="4CB7F258" w14:textId="77777777" w:rsidR="007C5F67" w:rsidRDefault="007C5F67" w:rsidP="008946C7">
      <w:pPr>
        <w:autoSpaceDE w:val="0"/>
        <w:autoSpaceDN w:val="0"/>
        <w:adjustRightInd w:val="0"/>
        <w:spacing w:line="360" w:lineRule="auto"/>
        <w:jc w:val="both"/>
        <w:rPr>
          <w:rFonts w:eastAsia="Calibri"/>
          <w:iCs/>
          <w:sz w:val="26"/>
          <w:szCs w:val="26"/>
          <w:lang w:val="el-GR"/>
        </w:rPr>
      </w:pPr>
    </w:p>
    <w:p w14:paraId="47D8EA4B" w14:textId="77777777" w:rsidR="007C5F67" w:rsidRPr="001F2C5F" w:rsidRDefault="007C5F67" w:rsidP="008946C7">
      <w:pPr>
        <w:autoSpaceDE w:val="0"/>
        <w:autoSpaceDN w:val="0"/>
        <w:adjustRightInd w:val="0"/>
        <w:spacing w:line="360" w:lineRule="auto"/>
        <w:jc w:val="both"/>
        <w:rPr>
          <w:rFonts w:eastAsia="Calibri"/>
          <w:iCs/>
          <w:sz w:val="26"/>
          <w:szCs w:val="26"/>
          <w:lang w:val="el-GR"/>
        </w:rPr>
      </w:pPr>
    </w:p>
    <w:p w14:paraId="67A10E4B" w14:textId="77777777" w:rsidR="007C5F67" w:rsidRPr="00BF0161" w:rsidRDefault="007C5F67" w:rsidP="008946C7">
      <w:pPr>
        <w:autoSpaceDE w:val="0"/>
        <w:autoSpaceDN w:val="0"/>
        <w:adjustRightInd w:val="0"/>
        <w:spacing w:line="360" w:lineRule="auto"/>
        <w:jc w:val="both"/>
        <w:rPr>
          <w:rFonts w:eastAsia="Calibri"/>
          <w:iCs/>
          <w:sz w:val="26"/>
          <w:szCs w:val="26"/>
          <w:lang w:val="el-GR"/>
        </w:rPr>
      </w:pPr>
    </w:p>
    <w:p w14:paraId="28AE454A" w14:textId="77777777" w:rsidR="008946C7" w:rsidRPr="00BF0161" w:rsidRDefault="008946C7" w:rsidP="008946C7">
      <w:pPr>
        <w:autoSpaceDE w:val="0"/>
        <w:autoSpaceDN w:val="0"/>
        <w:adjustRightInd w:val="0"/>
        <w:spacing w:line="360" w:lineRule="auto"/>
        <w:jc w:val="both"/>
        <w:rPr>
          <w:rFonts w:eastAsia="Calibri"/>
          <w:iCs/>
          <w:sz w:val="26"/>
          <w:szCs w:val="26"/>
          <w:lang w:val="el-GR"/>
        </w:rPr>
      </w:pPr>
    </w:p>
    <w:p w14:paraId="40A4ECE4" w14:textId="77777777" w:rsidR="008946C7" w:rsidRPr="00BF0161" w:rsidRDefault="008946C7" w:rsidP="005179EF">
      <w:pPr>
        <w:spacing w:after="120" w:line="360" w:lineRule="auto"/>
        <w:jc w:val="both"/>
        <w:rPr>
          <w:b/>
          <w:lang w:val="el-GR"/>
        </w:rPr>
      </w:pPr>
      <w:r w:rsidRPr="00BF0161">
        <w:rPr>
          <w:b/>
          <w:lang w:val="el-GR"/>
        </w:rPr>
        <w:t>Δήλωση μη λογοκλοπής</w:t>
      </w:r>
    </w:p>
    <w:p w14:paraId="1220CBD6" w14:textId="77777777" w:rsidR="008946C7" w:rsidRPr="00BF0161" w:rsidRDefault="008946C7" w:rsidP="005179EF">
      <w:pPr>
        <w:spacing w:after="120" w:line="360" w:lineRule="auto"/>
        <w:jc w:val="both"/>
        <w:rPr>
          <w:lang w:val="el-GR"/>
        </w:rPr>
      </w:pPr>
      <w:r w:rsidRPr="00BF0161">
        <w:rPr>
          <w:lang w:val="el-GR"/>
        </w:rPr>
        <w:lastRenderedPageBreak/>
        <w:t>Δηλώνουμε υπεύθυνα και γνωρίζοντας τις κυρώσεις του Ν. 2121/1993 περί Πνευματικής Ιδιοκτησίας, ότι η παρούσα πτυχιακή εργασία είναι εξ’ ολοκλήρου αποτέλεσμα δικής μας ερευνητικής εργασίας, δεν αποτελεί προϊόν αντιγραφής ούτε προέρχεται από ανάθεση σε τρίτους. Όλες οι πηγές που χρησιμοποιήθηκαν (κάθε είδους, μορφής και προέλευσης) για την συγγραφή της περιλαμβάνονται στη βιβλιογραφία.</w:t>
      </w:r>
    </w:p>
    <w:p w14:paraId="0F387E87" w14:textId="77777777" w:rsidR="008946C7" w:rsidRPr="00BF0161" w:rsidRDefault="008946C7" w:rsidP="005179EF">
      <w:pPr>
        <w:tabs>
          <w:tab w:val="left" w:pos="1473"/>
        </w:tabs>
        <w:spacing w:after="120" w:line="360" w:lineRule="auto"/>
        <w:jc w:val="both"/>
        <w:rPr>
          <w:lang w:val="el-GR"/>
        </w:rPr>
      </w:pPr>
    </w:p>
    <w:p w14:paraId="055AB3D9" w14:textId="77777777" w:rsidR="00610506" w:rsidRPr="00BF0161" w:rsidRDefault="00610506" w:rsidP="005179EF">
      <w:pPr>
        <w:spacing w:after="120" w:line="360" w:lineRule="auto"/>
        <w:jc w:val="both"/>
        <w:rPr>
          <w:lang w:val="el-GR"/>
        </w:rPr>
      </w:pPr>
      <w:r w:rsidRPr="00BF0161">
        <w:rPr>
          <w:lang w:val="el-GR"/>
        </w:rPr>
        <w:t>Γιωτίτσα Έλενα</w:t>
      </w:r>
      <w:r w:rsidR="00D979B3" w:rsidRPr="00BF0161">
        <w:rPr>
          <w:lang w:val="el-GR"/>
        </w:rPr>
        <w:t>,</w:t>
      </w:r>
    </w:p>
    <w:p w14:paraId="03B24528" w14:textId="77777777" w:rsidR="008946C7" w:rsidRPr="00BF0161" w:rsidRDefault="008946C7" w:rsidP="005179EF">
      <w:pPr>
        <w:spacing w:after="120" w:line="360" w:lineRule="auto"/>
        <w:jc w:val="both"/>
        <w:rPr>
          <w:lang w:val="el-GR"/>
        </w:rPr>
      </w:pPr>
      <w:r w:rsidRPr="00BF0161">
        <w:rPr>
          <w:lang w:val="el-GR"/>
        </w:rPr>
        <w:t>Υπογραφή</w:t>
      </w:r>
    </w:p>
    <w:p w14:paraId="6913C148" w14:textId="77777777" w:rsidR="008946C7" w:rsidRPr="00BF0161" w:rsidRDefault="008946C7" w:rsidP="005179EF">
      <w:pPr>
        <w:spacing w:after="120" w:line="360" w:lineRule="auto"/>
        <w:jc w:val="both"/>
        <w:rPr>
          <w:lang w:val="el-GR"/>
        </w:rPr>
      </w:pPr>
    </w:p>
    <w:p w14:paraId="35EAD860" w14:textId="77777777" w:rsidR="008946C7" w:rsidRPr="00BF0161" w:rsidRDefault="008946C7" w:rsidP="005179EF">
      <w:pPr>
        <w:spacing w:after="120" w:line="360" w:lineRule="auto"/>
        <w:jc w:val="both"/>
        <w:rPr>
          <w:lang w:val="el-GR"/>
        </w:rPr>
      </w:pPr>
    </w:p>
    <w:p w14:paraId="0D7B9FF6" w14:textId="77777777" w:rsidR="00D979B3" w:rsidRPr="00BF0161" w:rsidRDefault="00D979B3" w:rsidP="005179EF">
      <w:pPr>
        <w:spacing w:after="120" w:line="360" w:lineRule="auto"/>
        <w:jc w:val="both"/>
        <w:rPr>
          <w:lang w:val="el-GR"/>
        </w:rPr>
      </w:pPr>
      <w:r w:rsidRPr="00BF0161">
        <w:rPr>
          <w:lang w:val="el-GR"/>
        </w:rPr>
        <w:t>Δουλγέρη</w:t>
      </w:r>
      <w:r w:rsidR="00294C75" w:rsidRPr="00294C75">
        <w:rPr>
          <w:rFonts w:eastAsia="Calibri"/>
          <w:iCs/>
          <w:szCs w:val="32"/>
          <w:lang w:val="el-GR"/>
        </w:rPr>
        <w:t>-Καρακόλιου</w:t>
      </w:r>
      <w:r w:rsidRPr="00294C75">
        <w:rPr>
          <w:sz w:val="20"/>
          <w:lang w:val="el-GR"/>
        </w:rPr>
        <w:t xml:space="preserve"> </w:t>
      </w:r>
      <w:r w:rsidRPr="00BF0161">
        <w:rPr>
          <w:lang w:val="el-GR"/>
        </w:rPr>
        <w:t>Γεωργία</w:t>
      </w:r>
    </w:p>
    <w:p w14:paraId="5AB465F9" w14:textId="77777777" w:rsidR="008946C7" w:rsidRPr="00BF0161" w:rsidRDefault="008946C7" w:rsidP="005179EF">
      <w:pPr>
        <w:spacing w:after="120" w:line="360" w:lineRule="auto"/>
        <w:jc w:val="both"/>
        <w:rPr>
          <w:lang w:val="el-GR"/>
        </w:rPr>
      </w:pPr>
      <w:r w:rsidRPr="00BF0161">
        <w:rPr>
          <w:lang w:val="el-GR"/>
        </w:rPr>
        <w:t>Υπογραφή</w:t>
      </w:r>
    </w:p>
    <w:p w14:paraId="55B8F7D8" w14:textId="77777777" w:rsidR="008946C7" w:rsidRPr="00BF0161" w:rsidRDefault="008946C7" w:rsidP="005179EF">
      <w:pPr>
        <w:spacing w:after="120" w:line="360" w:lineRule="auto"/>
        <w:jc w:val="both"/>
        <w:rPr>
          <w:lang w:val="el-GR"/>
        </w:rPr>
      </w:pPr>
    </w:p>
    <w:p w14:paraId="3408F302" w14:textId="77777777" w:rsidR="008946C7" w:rsidRPr="00BF0161" w:rsidRDefault="008946C7" w:rsidP="005179EF">
      <w:pPr>
        <w:spacing w:after="120" w:line="360" w:lineRule="auto"/>
        <w:jc w:val="both"/>
        <w:rPr>
          <w:lang w:val="el-GR"/>
        </w:rPr>
      </w:pPr>
    </w:p>
    <w:p w14:paraId="565F6FE3" w14:textId="77777777" w:rsidR="00D979B3" w:rsidRPr="00BF0161" w:rsidRDefault="00D979B3" w:rsidP="005179EF">
      <w:pPr>
        <w:spacing w:after="120" w:line="360" w:lineRule="auto"/>
        <w:jc w:val="both"/>
        <w:rPr>
          <w:lang w:val="el-GR"/>
        </w:rPr>
      </w:pPr>
      <w:r w:rsidRPr="00BF0161">
        <w:rPr>
          <w:lang w:val="el-GR"/>
        </w:rPr>
        <w:t>Δρουγουνάκη Δήμητρα</w:t>
      </w:r>
    </w:p>
    <w:p w14:paraId="26544157" w14:textId="77777777" w:rsidR="008946C7" w:rsidRPr="00BF0161" w:rsidRDefault="008946C7" w:rsidP="005179EF">
      <w:pPr>
        <w:spacing w:after="120" w:line="360" w:lineRule="auto"/>
        <w:jc w:val="both"/>
        <w:rPr>
          <w:lang w:val="el-GR"/>
        </w:rPr>
      </w:pPr>
      <w:r w:rsidRPr="00BF0161">
        <w:rPr>
          <w:lang w:val="el-GR"/>
        </w:rPr>
        <w:lastRenderedPageBreak/>
        <w:t>Υπογραφή</w:t>
      </w:r>
    </w:p>
    <w:p w14:paraId="095B7356" w14:textId="77777777" w:rsidR="008946C7" w:rsidRPr="00BF0161" w:rsidRDefault="008946C7" w:rsidP="005179EF">
      <w:pPr>
        <w:spacing w:after="120" w:line="360" w:lineRule="auto"/>
        <w:jc w:val="both"/>
        <w:rPr>
          <w:lang w:val="el-GR"/>
        </w:rPr>
      </w:pPr>
    </w:p>
    <w:p w14:paraId="14645DB9" w14:textId="77777777" w:rsidR="008946C7" w:rsidRPr="00BF0161" w:rsidRDefault="008946C7" w:rsidP="005179EF">
      <w:pPr>
        <w:spacing w:after="120" w:line="360" w:lineRule="auto"/>
        <w:jc w:val="both"/>
        <w:rPr>
          <w:lang w:val="el-GR"/>
        </w:rPr>
      </w:pPr>
    </w:p>
    <w:p w14:paraId="696C2D83" w14:textId="77777777" w:rsidR="00D979B3" w:rsidRPr="00BF0161" w:rsidRDefault="00D979B3" w:rsidP="005179EF">
      <w:pPr>
        <w:spacing w:after="120" w:line="360" w:lineRule="auto"/>
        <w:jc w:val="both"/>
        <w:rPr>
          <w:lang w:val="el-GR"/>
        </w:rPr>
      </w:pPr>
      <w:proofErr w:type="spellStart"/>
      <w:r w:rsidRPr="00BF0161">
        <w:rPr>
          <w:lang w:val="el-GR"/>
        </w:rPr>
        <w:t>Ζαϊμίδου</w:t>
      </w:r>
      <w:proofErr w:type="spellEnd"/>
      <w:r w:rsidRPr="00BF0161">
        <w:rPr>
          <w:lang w:val="el-GR"/>
        </w:rPr>
        <w:t xml:space="preserve"> </w:t>
      </w:r>
      <w:proofErr w:type="spellStart"/>
      <w:r w:rsidRPr="00BF0161">
        <w:rPr>
          <w:lang w:val="el-GR"/>
        </w:rPr>
        <w:t>Φιλινή</w:t>
      </w:r>
      <w:proofErr w:type="spellEnd"/>
    </w:p>
    <w:p w14:paraId="761AFA57" w14:textId="77777777" w:rsidR="009A5C69" w:rsidRDefault="008946C7" w:rsidP="009A5C69">
      <w:pPr>
        <w:spacing w:after="120" w:line="360" w:lineRule="auto"/>
        <w:jc w:val="both"/>
        <w:rPr>
          <w:lang w:val="el-GR"/>
        </w:rPr>
      </w:pPr>
      <w:r w:rsidRPr="00BF0161">
        <w:rPr>
          <w:lang w:val="el-GR"/>
        </w:rPr>
        <w:t>Υπογραφή</w:t>
      </w:r>
    </w:p>
    <w:p w14:paraId="0402D033" w14:textId="77777777" w:rsidR="00803347" w:rsidRDefault="00803347" w:rsidP="009A5C69">
      <w:pPr>
        <w:spacing w:after="120" w:line="360" w:lineRule="auto"/>
        <w:jc w:val="both"/>
        <w:rPr>
          <w:b/>
          <w:sz w:val="32"/>
          <w:szCs w:val="44"/>
          <w:lang w:val="el-GR"/>
        </w:rPr>
      </w:pPr>
    </w:p>
    <w:p w14:paraId="7AF9D9EA" w14:textId="77777777" w:rsidR="00803347" w:rsidRDefault="00803347" w:rsidP="009A5C69">
      <w:pPr>
        <w:spacing w:after="120" w:line="360" w:lineRule="auto"/>
        <w:jc w:val="both"/>
        <w:rPr>
          <w:b/>
          <w:sz w:val="32"/>
          <w:szCs w:val="44"/>
          <w:lang w:val="el-GR"/>
        </w:rPr>
      </w:pPr>
    </w:p>
    <w:p w14:paraId="5E29D859" w14:textId="77777777" w:rsidR="00803347" w:rsidRDefault="00803347" w:rsidP="009A5C69">
      <w:pPr>
        <w:spacing w:after="120" w:line="360" w:lineRule="auto"/>
        <w:jc w:val="both"/>
        <w:rPr>
          <w:b/>
          <w:sz w:val="32"/>
          <w:szCs w:val="44"/>
          <w:lang w:val="el-GR"/>
        </w:rPr>
      </w:pPr>
    </w:p>
    <w:p w14:paraId="065DAF5E" w14:textId="77777777" w:rsidR="00803347" w:rsidRDefault="00803347" w:rsidP="009A5C69">
      <w:pPr>
        <w:spacing w:after="120" w:line="360" w:lineRule="auto"/>
        <w:jc w:val="both"/>
        <w:rPr>
          <w:b/>
          <w:sz w:val="32"/>
          <w:szCs w:val="44"/>
          <w:lang w:val="el-GR"/>
        </w:rPr>
      </w:pPr>
    </w:p>
    <w:p w14:paraId="531D653D" w14:textId="77777777" w:rsidR="008946C7" w:rsidRPr="00DA4172" w:rsidRDefault="008946C7" w:rsidP="00803347">
      <w:pPr>
        <w:pStyle w:val="1"/>
        <w:spacing w:before="0" w:after="120" w:line="360" w:lineRule="auto"/>
        <w:rPr>
          <w:b w:val="0"/>
          <w:sz w:val="18"/>
          <w:lang w:val="el-GR"/>
        </w:rPr>
      </w:pPr>
      <w:bookmarkStart w:id="3" w:name="_Toc493323951"/>
      <w:r w:rsidRPr="00DA4172">
        <w:rPr>
          <w:lang w:val="el-GR"/>
        </w:rPr>
        <w:t>Ευχαριστίες</w:t>
      </w:r>
      <w:bookmarkEnd w:id="3"/>
    </w:p>
    <w:p w14:paraId="29C1C8ED" w14:textId="77777777" w:rsidR="009E4094" w:rsidRDefault="009E4094" w:rsidP="003C4388">
      <w:pPr>
        <w:jc w:val="both"/>
        <w:rPr>
          <w:b/>
          <w:sz w:val="44"/>
          <w:szCs w:val="44"/>
          <w:lang w:val="el-GR"/>
        </w:rPr>
      </w:pPr>
    </w:p>
    <w:p w14:paraId="0A45F7EE" w14:textId="77777777" w:rsidR="003C25E1" w:rsidRPr="003C4388" w:rsidRDefault="003C25E1" w:rsidP="003C4388">
      <w:pPr>
        <w:spacing w:after="120" w:line="360" w:lineRule="auto"/>
        <w:jc w:val="both"/>
        <w:rPr>
          <w:lang w:val="el-GR"/>
        </w:rPr>
      </w:pPr>
      <w:r w:rsidRPr="003C25E1">
        <w:rPr>
          <w:lang w:val="el-GR"/>
        </w:rPr>
        <w:t>Με την ολοκλήρωση αυτής της πτυχιακής</w:t>
      </w:r>
      <w:r>
        <w:rPr>
          <w:lang w:val="el-GR"/>
        </w:rPr>
        <w:t xml:space="preserve"> θα θέλαμε να ευχαριστήσουμε όλους όσους μας βοήθησαν για την διεκπεραίωσή της. </w:t>
      </w:r>
    </w:p>
    <w:p w14:paraId="3945120B" w14:textId="37E7C379" w:rsidR="00770A54" w:rsidRPr="003C4388" w:rsidRDefault="003C25E1" w:rsidP="003C4388">
      <w:pPr>
        <w:spacing w:after="120" w:line="360" w:lineRule="auto"/>
        <w:jc w:val="both"/>
        <w:rPr>
          <w:lang w:val="el-GR"/>
        </w:rPr>
      </w:pPr>
      <w:r>
        <w:rPr>
          <w:lang w:val="el-GR"/>
        </w:rPr>
        <w:lastRenderedPageBreak/>
        <w:t xml:space="preserve">Συγκεκριμένα, οφείλουμε ένα ευχαριστώ στους καθηγητές μας οι οποίοι μας κατάρτισαν με γνώσεις κατά τη διάρκεια των σπουδών μας, καθώς και το προσωπικό της βιβλιοθήκης του τμήματος. Αισθανόμαστε ιδιαίτερα υποχρεωμένες και ευγνώμων για την ευκαιρία που μας έδωσε ο επιβλέπων καθηγητής </w:t>
      </w:r>
      <w:proofErr w:type="spellStart"/>
      <w:r>
        <w:rPr>
          <w:lang w:val="el-GR"/>
        </w:rPr>
        <w:t>Δρ</w:t>
      </w:r>
      <w:proofErr w:type="spellEnd"/>
      <w:r>
        <w:rPr>
          <w:lang w:val="el-GR"/>
        </w:rPr>
        <w:t xml:space="preserve">, Διονύσιος </w:t>
      </w:r>
      <w:proofErr w:type="spellStart"/>
      <w:r>
        <w:rPr>
          <w:lang w:val="el-GR"/>
        </w:rPr>
        <w:t>Ταφιάδης</w:t>
      </w:r>
      <w:proofErr w:type="spellEnd"/>
      <w:r w:rsidR="00D24027">
        <w:rPr>
          <w:lang w:val="el-GR"/>
        </w:rPr>
        <w:t xml:space="preserve"> για την έμπρακτη</w:t>
      </w:r>
      <w:r w:rsidR="00770A54">
        <w:rPr>
          <w:lang w:val="el-GR"/>
        </w:rPr>
        <w:t xml:space="preserve"> βοήθεια </w:t>
      </w:r>
      <w:r w:rsidR="00D24027">
        <w:rPr>
          <w:lang w:val="el-GR"/>
        </w:rPr>
        <w:t>και καθοδήγηση του</w:t>
      </w:r>
      <w:r w:rsidR="00532AB0">
        <w:rPr>
          <w:lang w:val="el-GR"/>
        </w:rPr>
        <w:t>.</w:t>
      </w:r>
    </w:p>
    <w:p w14:paraId="29D20CC2" w14:textId="77777777" w:rsidR="00770A54" w:rsidRPr="003C25E1" w:rsidRDefault="00770A54" w:rsidP="003C4388">
      <w:pPr>
        <w:spacing w:after="120" w:line="360" w:lineRule="auto"/>
        <w:jc w:val="both"/>
        <w:rPr>
          <w:lang w:val="el-GR"/>
        </w:rPr>
      </w:pPr>
      <w:r>
        <w:rPr>
          <w:lang w:val="el-GR"/>
        </w:rPr>
        <w:t>Επίσης, ένα μεγάλο ευχαριστώ σε όλους όσους δέχτηκαν να συμμετέχουν στην έρευνά μας, χωρίς τη βοήθεια των οποίων δε θα μπορούσε να πραγματοποιηθεί. Τέλος, ευχαριστούμε θερμά τις οικογένειες μας για τη στήριξή τους.</w:t>
      </w:r>
    </w:p>
    <w:p w14:paraId="7A40435E" w14:textId="77777777" w:rsidR="008946C7" w:rsidRPr="003C25E1" w:rsidRDefault="008946C7" w:rsidP="003C4388">
      <w:pPr>
        <w:spacing w:after="120" w:line="360" w:lineRule="auto"/>
        <w:jc w:val="both"/>
        <w:rPr>
          <w:lang w:val="el-GR"/>
        </w:rPr>
      </w:pPr>
    </w:p>
    <w:p w14:paraId="0E6565A3" w14:textId="77777777" w:rsidR="008946C7" w:rsidRPr="00BF0161" w:rsidRDefault="008946C7" w:rsidP="008946C7">
      <w:pPr>
        <w:spacing w:line="360" w:lineRule="auto"/>
        <w:jc w:val="both"/>
        <w:rPr>
          <w:lang w:val="el-GR"/>
        </w:rPr>
      </w:pPr>
    </w:p>
    <w:p w14:paraId="62F8D4B0" w14:textId="77777777" w:rsidR="008946C7" w:rsidRPr="00BF0161" w:rsidRDefault="008946C7" w:rsidP="008946C7">
      <w:pPr>
        <w:spacing w:line="360" w:lineRule="auto"/>
        <w:jc w:val="both"/>
        <w:rPr>
          <w:lang w:val="el-GR"/>
        </w:rPr>
      </w:pPr>
    </w:p>
    <w:p w14:paraId="7F043FCC" w14:textId="77777777" w:rsidR="008946C7" w:rsidRPr="00BF0161" w:rsidRDefault="008946C7" w:rsidP="008946C7">
      <w:pPr>
        <w:spacing w:line="360" w:lineRule="auto"/>
        <w:jc w:val="both"/>
        <w:rPr>
          <w:lang w:val="el-GR"/>
        </w:rPr>
      </w:pPr>
    </w:p>
    <w:p w14:paraId="61106979" w14:textId="77777777" w:rsidR="008946C7" w:rsidRPr="00BF0161" w:rsidRDefault="008946C7" w:rsidP="008946C7">
      <w:pPr>
        <w:spacing w:line="360" w:lineRule="auto"/>
        <w:jc w:val="both"/>
        <w:rPr>
          <w:lang w:val="el-GR"/>
        </w:rPr>
      </w:pPr>
    </w:p>
    <w:p w14:paraId="4DAB243E" w14:textId="77777777" w:rsidR="008946C7" w:rsidRPr="00BF0161" w:rsidRDefault="008946C7" w:rsidP="008946C7">
      <w:pPr>
        <w:spacing w:line="360" w:lineRule="auto"/>
        <w:jc w:val="both"/>
        <w:rPr>
          <w:lang w:val="el-GR"/>
        </w:rPr>
      </w:pPr>
    </w:p>
    <w:p w14:paraId="399A3DD5" w14:textId="77777777" w:rsidR="008946C7" w:rsidRPr="00BF0161" w:rsidRDefault="008946C7" w:rsidP="008946C7">
      <w:pPr>
        <w:spacing w:line="360" w:lineRule="auto"/>
        <w:jc w:val="both"/>
        <w:rPr>
          <w:lang w:val="el-GR"/>
        </w:rPr>
      </w:pPr>
    </w:p>
    <w:p w14:paraId="6D42F004" w14:textId="77777777" w:rsidR="008946C7" w:rsidRPr="00BF0161" w:rsidRDefault="008946C7" w:rsidP="008946C7">
      <w:pPr>
        <w:spacing w:line="360" w:lineRule="auto"/>
        <w:jc w:val="both"/>
        <w:rPr>
          <w:lang w:val="el-GR"/>
        </w:rPr>
      </w:pPr>
    </w:p>
    <w:p w14:paraId="3BFEA8EA" w14:textId="77777777" w:rsidR="008946C7" w:rsidRPr="00BF0161" w:rsidRDefault="008946C7" w:rsidP="008946C7">
      <w:pPr>
        <w:spacing w:line="360" w:lineRule="auto"/>
        <w:jc w:val="both"/>
        <w:rPr>
          <w:lang w:val="el-GR"/>
        </w:rPr>
      </w:pPr>
    </w:p>
    <w:p w14:paraId="33A2DC5F" w14:textId="77777777" w:rsidR="008946C7" w:rsidRPr="00BF0161" w:rsidRDefault="008946C7" w:rsidP="008946C7">
      <w:pPr>
        <w:spacing w:line="360" w:lineRule="auto"/>
        <w:jc w:val="both"/>
        <w:rPr>
          <w:lang w:val="el-GR"/>
        </w:rPr>
      </w:pPr>
    </w:p>
    <w:p w14:paraId="09ECE74E" w14:textId="77777777" w:rsidR="008946C7" w:rsidRPr="00BF0161" w:rsidRDefault="008946C7" w:rsidP="008946C7">
      <w:pPr>
        <w:spacing w:line="360" w:lineRule="auto"/>
        <w:jc w:val="both"/>
        <w:rPr>
          <w:lang w:val="el-GR"/>
        </w:rPr>
      </w:pPr>
    </w:p>
    <w:p w14:paraId="6072570D" w14:textId="77777777" w:rsidR="008946C7" w:rsidRPr="00BF0161" w:rsidRDefault="008946C7" w:rsidP="008946C7">
      <w:pPr>
        <w:spacing w:line="360" w:lineRule="auto"/>
        <w:jc w:val="both"/>
        <w:rPr>
          <w:lang w:val="el-GR"/>
        </w:rPr>
      </w:pPr>
    </w:p>
    <w:p w14:paraId="1D828503" w14:textId="77777777" w:rsidR="008946C7" w:rsidRPr="00BF0161" w:rsidRDefault="008946C7" w:rsidP="008946C7">
      <w:pPr>
        <w:spacing w:line="360" w:lineRule="auto"/>
        <w:jc w:val="both"/>
        <w:rPr>
          <w:lang w:val="el-GR"/>
        </w:rPr>
      </w:pPr>
    </w:p>
    <w:p w14:paraId="33357E29" w14:textId="77777777" w:rsidR="008946C7" w:rsidRPr="00BF0161" w:rsidRDefault="008946C7" w:rsidP="008946C7">
      <w:pPr>
        <w:spacing w:line="360" w:lineRule="auto"/>
        <w:jc w:val="both"/>
        <w:rPr>
          <w:lang w:val="el-GR"/>
        </w:rPr>
      </w:pPr>
    </w:p>
    <w:p w14:paraId="2635BBF8" w14:textId="77777777" w:rsidR="008946C7" w:rsidRPr="00BF0161" w:rsidRDefault="008946C7" w:rsidP="008946C7">
      <w:pPr>
        <w:spacing w:line="360" w:lineRule="auto"/>
        <w:jc w:val="both"/>
        <w:rPr>
          <w:lang w:val="el-GR"/>
        </w:rPr>
      </w:pPr>
    </w:p>
    <w:p w14:paraId="7678E119" w14:textId="77777777" w:rsidR="008946C7" w:rsidRDefault="008946C7" w:rsidP="008946C7">
      <w:pPr>
        <w:spacing w:line="360" w:lineRule="auto"/>
        <w:jc w:val="both"/>
        <w:rPr>
          <w:lang w:val="el-GR"/>
        </w:rPr>
      </w:pPr>
    </w:p>
    <w:p w14:paraId="16606B47" w14:textId="77777777" w:rsidR="00BF0161" w:rsidRDefault="00BF0161" w:rsidP="008946C7">
      <w:pPr>
        <w:spacing w:line="360" w:lineRule="auto"/>
        <w:jc w:val="both"/>
        <w:rPr>
          <w:lang w:val="el-GR"/>
        </w:rPr>
      </w:pPr>
    </w:p>
    <w:p w14:paraId="0C004B8D" w14:textId="77777777" w:rsidR="00BF0161" w:rsidRDefault="00BF0161" w:rsidP="008946C7">
      <w:pPr>
        <w:spacing w:line="360" w:lineRule="auto"/>
        <w:jc w:val="both"/>
        <w:rPr>
          <w:lang w:val="el-GR"/>
        </w:rPr>
      </w:pPr>
    </w:p>
    <w:p w14:paraId="025F2204" w14:textId="77777777" w:rsidR="00BF0161" w:rsidRDefault="00BF0161" w:rsidP="008946C7">
      <w:pPr>
        <w:spacing w:line="360" w:lineRule="auto"/>
        <w:jc w:val="both"/>
        <w:rPr>
          <w:lang w:val="el-GR"/>
        </w:rPr>
      </w:pPr>
    </w:p>
    <w:p w14:paraId="16A89300" w14:textId="77777777" w:rsidR="00BF0161" w:rsidRPr="00454AF2" w:rsidRDefault="00BF0161" w:rsidP="008946C7">
      <w:pPr>
        <w:spacing w:line="360" w:lineRule="auto"/>
        <w:jc w:val="both"/>
        <w:rPr>
          <w:lang w:val="el-GR"/>
        </w:rPr>
      </w:pPr>
    </w:p>
    <w:p w14:paraId="5C1C2C89" w14:textId="77777777" w:rsidR="008946C7" w:rsidRPr="00DA4172" w:rsidRDefault="008946C7" w:rsidP="00803347">
      <w:pPr>
        <w:pStyle w:val="1"/>
        <w:spacing w:before="0" w:after="120" w:line="360" w:lineRule="auto"/>
        <w:rPr>
          <w:rFonts w:cs="Times New Roman"/>
          <w:b w:val="0"/>
          <w:lang w:val="el-GR"/>
        </w:rPr>
      </w:pPr>
      <w:bookmarkStart w:id="4" w:name="_Toc493323952"/>
      <w:r w:rsidRPr="00DA4172">
        <w:rPr>
          <w:rFonts w:cs="Times New Roman"/>
          <w:lang w:val="el-GR"/>
        </w:rPr>
        <w:t>Περίληψη</w:t>
      </w:r>
      <w:bookmarkEnd w:id="4"/>
    </w:p>
    <w:p w14:paraId="3FE563D4" w14:textId="77777777" w:rsidR="008946C7" w:rsidRPr="00BF0161" w:rsidRDefault="008946C7" w:rsidP="009A5C69">
      <w:pPr>
        <w:spacing w:after="120" w:line="360" w:lineRule="auto"/>
        <w:jc w:val="both"/>
        <w:rPr>
          <w:lang w:val="el-GR"/>
        </w:rPr>
      </w:pPr>
      <w:r w:rsidRPr="00BF0161">
        <w:rPr>
          <w:b/>
          <w:lang w:val="el-GR"/>
        </w:rPr>
        <w:t>Σκοπός:</w:t>
      </w:r>
      <w:r w:rsidRPr="00BF0161">
        <w:rPr>
          <w:lang w:val="el-GR"/>
        </w:rPr>
        <w:t xml:space="preserve"> Οι </w:t>
      </w:r>
      <w:r w:rsidR="000264BA" w:rsidRPr="00BF0161">
        <w:rPr>
          <w:lang w:val="el-GR"/>
        </w:rPr>
        <w:t xml:space="preserve">ασθενείς με καρκίνο κεφαλής τραχήλου έρχονται αντιμέτωποι με πολλά προβλήματα υγείας πριν και μετά την όποια διαγνωστική και θεραπευτική διαδικασία. Από λογοπαθολογική σκοπιά το πιο σύνηθες είναι οι διαταραχές κατάποσης με </w:t>
      </w:r>
      <w:r w:rsidRPr="00BF0161">
        <w:rPr>
          <w:lang w:val="el-GR"/>
        </w:rPr>
        <w:t>προβλήματα όπως αφυδάτωση ή κακή θρέψη, συνεχ</w:t>
      </w:r>
      <w:r w:rsidR="000264BA" w:rsidRPr="00BF0161">
        <w:rPr>
          <w:lang w:val="el-GR"/>
        </w:rPr>
        <w:t xml:space="preserve">είς </w:t>
      </w:r>
      <w:proofErr w:type="spellStart"/>
      <w:r w:rsidR="000264BA" w:rsidRPr="00BF0161">
        <w:rPr>
          <w:lang w:val="el-GR"/>
        </w:rPr>
        <w:t>εισροφήσεις</w:t>
      </w:r>
      <w:proofErr w:type="spellEnd"/>
      <w:r w:rsidR="000264BA" w:rsidRPr="00BF0161">
        <w:rPr>
          <w:lang w:val="el-GR"/>
        </w:rPr>
        <w:t xml:space="preserve"> και εισχωρήσεις</w:t>
      </w:r>
      <w:r w:rsidRPr="00BF0161">
        <w:rPr>
          <w:lang w:val="el-GR"/>
        </w:rPr>
        <w:t xml:space="preserve">. Η λογοπαθολογική αξιολόγηση </w:t>
      </w:r>
      <w:r w:rsidRPr="00BF0161">
        <w:rPr>
          <w:lang w:val="el-GR"/>
        </w:rPr>
        <w:lastRenderedPageBreak/>
        <w:t xml:space="preserve">των διαταραχών κατάποσης γίνεται συνήθως με την χρήση απεικονιστικών μεθόδων, παρά την κλίνης αξιολογήσεων και της χορήγησης ερωτηματολογίων </w:t>
      </w:r>
      <w:proofErr w:type="spellStart"/>
      <w:r w:rsidRPr="00BF0161">
        <w:rPr>
          <w:lang w:val="el-GR"/>
        </w:rPr>
        <w:t>αυτοαναφοράς</w:t>
      </w:r>
      <w:proofErr w:type="spellEnd"/>
      <w:r w:rsidRPr="00BF0161">
        <w:rPr>
          <w:lang w:val="el-GR"/>
        </w:rPr>
        <w:t xml:space="preserve">. Σκοπός της παρούσας έρευνας ήταν μέσω μιας πιλοτικής μελέτης –σε τυπικό πληθυσμό- να αξιολογηθεί ένα ερωτηματολόγιο </w:t>
      </w:r>
      <w:proofErr w:type="spellStart"/>
      <w:r w:rsidRPr="00BF0161">
        <w:rPr>
          <w:lang w:val="el-GR"/>
        </w:rPr>
        <w:t>αυτοαναφοράς</w:t>
      </w:r>
      <w:proofErr w:type="spellEnd"/>
      <w:r w:rsidRPr="00BF0161">
        <w:rPr>
          <w:lang w:val="el-GR"/>
        </w:rPr>
        <w:t xml:space="preserve"> για την δυσφαγία ενηλίκων που πάσχουν από </w:t>
      </w:r>
      <w:r w:rsidR="00FE500E">
        <w:rPr>
          <w:lang w:val="el-GR"/>
        </w:rPr>
        <w:t>καρκίνο κεφαλής τ</w:t>
      </w:r>
      <w:r w:rsidR="000264BA" w:rsidRPr="00BF0161">
        <w:rPr>
          <w:lang w:val="el-GR"/>
        </w:rPr>
        <w:t>ραχήλου</w:t>
      </w:r>
      <w:r w:rsidRPr="00BF0161">
        <w:rPr>
          <w:lang w:val="el-GR"/>
        </w:rPr>
        <w:t>.</w:t>
      </w:r>
    </w:p>
    <w:p w14:paraId="5E33909C" w14:textId="77777777" w:rsidR="008946C7" w:rsidRPr="00BF0161" w:rsidRDefault="008946C7" w:rsidP="009A5C69">
      <w:pPr>
        <w:spacing w:after="120" w:line="360" w:lineRule="auto"/>
        <w:jc w:val="both"/>
        <w:rPr>
          <w:lang w:val="el-GR"/>
        </w:rPr>
      </w:pPr>
      <w:r w:rsidRPr="00BF0161">
        <w:rPr>
          <w:b/>
          <w:lang w:val="el-GR"/>
        </w:rPr>
        <w:t>Μέθοδος</w:t>
      </w:r>
      <w:r w:rsidRPr="00BF0161">
        <w:rPr>
          <w:lang w:val="el-GR"/>
        </w:rPr>
        <w:t xml:space="preserve">: Σε σύνολο </w:t>
      </w:r>
      <w:r w:rsidR="000264BA" w:rsidRPr="00BF0161">
        <w:rPr>
          <w:lang w:val="el-GR"/>
        </w:rPr>
        <w:t>360</w:t>
      </w:r>
      <w:r w:rsidRPr="00BF0161">
        <w:rPr>
          <w:lang w:val="el-GR"/>
        </w:rPr>
        <w:t xml:space="preserve"> τυπικών ενηλίκων (</w:t>
      </w:r>
      <w:r w:rsidR="000264BA" w:rsidRPr="00BF0161">
        <w:rPr>
          <w:lang w:val="el-GR"/>
        </w:rPr>
        <w:t>180</w:t>
      </w:r>
      <w:r w:rsidRPr="00BF0161">
        <w:rPr>
          <w:lang w:val="el-GR"/>
        </w:rPr>
        <w:t xml:space="preserve"> άντρες και </w:t>
      </w:r>
      <w:r w:rsidR="000264BA" w:rsidRPr="00BF0161">
        <w:rPr>
          <w:lang w:val="el-GR"/>
        </w:rPr>
        <w:t>180 γυναίκες) ηλικίας 18 έως 91</w:t>
      </w:r>
      <w:r w:rsidRPr="00BF0161">
        <w:rPr>
          <w:lang w:val="el-GR"/>
        </w:rPr>
        <w:t xml:space="preserve"> ετών τους χορηγήθηκε ένα ερωτηματολόγιο </w:t>
      </w:r>
      <w:proofErr w:type="spellStart"/>
      <w:r w:rsidRPr="00BF0161">
        <w:rPr>
          <w:lang w:val="el-GR"/>
        </w:rPr>
        <w:t>αυτοανα</w:t>
      </w:r>
      <w:r w:rsidR="00FE500E">
        <w:rPr>
          <w:lang w:val="el-GR"/>
        </w:rPr>
        <w:t>φοράς</w:t>
      </w:r>
      <w:proofErr w:type="spellEnd"/>
      <w:r w:rsidR="00FE500E">
        <w:rPr>
          <w:lang w:val="el-GR"/>
        </w:rPr>
        <w:t xml:space="preserve"> για την ικανότητα κατάποσης. Το</w:t>
      </w:r>
      <w:r w:rsidRPr="00BF0161">
        <w:rPr>
          <w:lang w:val="el-GR"/>
        </w:rPr>
        <w:t xml:space="preserve"> χορηγούμενο ερωτηματολόγιο προσαρμόστηκε </w:t>
      </w:r>
      <w:r w:rsidR="000264BA" w:rsidRPr="00BF0161">
        <w:rPr>
          <w:lang w:val="el-GR"/>
        </w:rPr>
        <w:t>στην ελληνική γλώσσα</w:t>
      </w:r>
      <w:r w:rsidRPr="00BF0161">
        <w:rPr>
          <w:lang w:val="el-GR"/>
        </w:rPr>
        <w:t xml:space="preserve"> σύμφωνα με τα ελάχιστα κριτήρια μετάφρασης.</w:t>
      </w:r>
    </w:p>
    <w:p w14:paraId="7B3F8D48" w14:textId="14F7F4DE" w:rsidR="008946C7" w:rsidRPr="00BF0161" w:rsidRDefault="008946C7" w:rsidP="009A5C69">
      <w:pPr>
        <w:spacing w:after="120" w:line="360" w:lineRule="auto"/>
        <w:jc w:val="both"/>
        <w:rPr>
          <w:lang w:val="el-GR"/>
        </w:rPr>
      </w:pPr>
      <w:r w:rsidRPr="00BF0161">
        <w:rPr>
          <w:b/>
          <w:lang w:val="el-GR"/>
        </w:rPr>
        <w:t>Αποτελέσματα:</w:t>
      </w:r>
      <w:r w:rsidRPr="00BF0161">
        <w:rPr>
          <w:lang w:val="el-GR"/>
        </w:rPr>
        <w:t xml:space="preserve"> Οι αναλύσεις έδειξαν διαφορές μεταξύ </w:t>
      </w:r>
      <w:r w:rsidR="000264BA" w:rsidRPr="00BF0161">
        <w:rPr>
          <w:lang w:val="el-GR"/>
        </w:rPr>
        <w:t>των</w:t>
      </w:r>
      <w:r w:rsidRPr="00BF0161">
        <w:rPr>
          <w:lang w:val="el-GR"/>
        </w:rPr>
        <w:t xml:space="preserve"> ηλικιακών υποομάδων της έρευνας. </w:t>
      </w:r>
      <w:r w:rsidR="00284613">
        <w:rPr>
          <w:lang w:val="el-GR"/>
        </w:rPr>
        <w:t>Επίσης,</w:t>
      </w:r>
      <w:r w:rsidRPr="00BF0161">
        <w:rPr>
          <w:lang w:val="el-GR"/>
        </w:rPr>
        <w:t xml:space="preserve"> διαφορές παρατηρήθηκαν μεταξύ του ερωτηματολογίου ως προς τα συνολικά τους σκορ ειδικά μεταξύ της ηλικιακή</w:t>
      </w:r>
      <w:r w:rsidR="001724AA">
        <w:rPr>
          <w:lang w:val="el-GR"/>
        </w:rPr>
        <w:t>ς</w:t>
      </w:r>
      <w:r w:rsidRPr="00BF0161">
        <w:rPr>
          <w:lang w:val="el-GR"/>
        </w:rPr>
        <w:t xml:space="preserve"> ομάδας 18 έως 30 ετών και των μεγαλύτερων σε ηλικία ομάδων (70+). Η αξιοπιστία και του ερωτηματολόγιου ήταν πολύ υψηλή (</w:t>
      </w:r>
      <w:r w:rsidRPr="00F80333">
        <w:t>a</w:t>
      </w:r>
      <w:r w:rsidRPr="00BF0161">
        <w:rPr>
          <w:lang w:val="el-GR"/>
        </w:rPr>
        <w:t>-</w:t>
      </w:r>
      <w:r w:rsidRPr="00F80333">
        <w:t>Cronbach</w:t>
      </w:r>
      <w:r w:rsidRPr="00BF0161">
        <w:rPr>
          <w:lang w:val="el-GR"/>
        </w:rPr>
        <w:t>&gt; .800) και η εσωτερική συνοχή ήταν ισχυρή.</w:t>
      </w:r>
    </w:p>
    <w:p w14:paraId="501BF07A" w14:textId="39A4EF8A" w:rsidR="008946C7" w:rsidRPr="00BF0161" w:rsidRDefault="008946C7" w:rsidP="009A5C69">
      <w:pPr>
        <w:spacing w:after="120" w:line="360" w:lineRule="auto"/>
        <w:jc w:val="both"/>
        <w:rPr>
          <w:lang w:val="el-GR"/>
        </w:rPr>
      </w:pPr>
      <w:r w:rsidRPr="00BF0161">
        <w:rPr>
          <w:b/>
          <w:lang w:val="el-GR"/>
        </w:rPr>
        <w:lastRenderedPageBreak/>
        <w:t>Συζήτηση:</w:t>
      </w:r>
      <w:r w:rsidRPr="00BF0161">
        <w:rPr>
          <w:lang w:val="el-GR"/>
        </w:rPr>
        <w:t xml:space="preserve"> Το ερωτηματολόγιο αξιολόγησης των δι</w:t>
      </w:r>
      <w:r w:rsidR="000264BA" w:rsidRPr="00BF0161">
        <w:rPr>
          <w:lang w:val="el-GR"/>
        </w:rPr>
        <w:t xml:space="preserve">αταραχών κατάποσης που οφείλονται σε καρκίνο κεφαλής τραχήλου </w:t>
      </w:r>
      <w:r w:rsidRPr="00BF0161">
        <w:rPr>
          <w:lang w:val="el-GR"/>
        </w:rPr>
        <w:t xml:space="preserve">δίνει δεδομένα ως προς την αυτοαντίληψη των ικανοτήτων κατάποσης. Το ερωτηματολόγιο αυτό μπορεί να χρησιμοποιηθεί ως εργαλείο </w:t>
      </w:r>
      <w:r w:rsidR="000264BA" w:rsidRPr="00BF0161">
        <w:rPr>
          <w:lang w:val="el-GR"/>
        </w:rPr>
        <w:t xml:space="preserve">πρώτου βαθμού </w:t>
      </w:r>
      <w:r w:rsidRPr="00BF0161">
        <w:rPr>
          <w:lang w:val="el-GR"/>
        </w:rPr>
        <w:t>αξιολόγησης και να συνδράμ</w:t>
      </w:r>
      <w:r w:rsidR="00C800C5">
        <w:rPr>
          <w:lang w:val="el-GR"/>
        </w:rPr>
        <w:t>ει στην απόφαση για παραπομπή</w:t>
      </w:r>
      <w:r w:rsidR="00A22310">
        <w:rPr>
          <w:lang w:val="el-GR"/>
        </w:rPr>
        <w:t xml:space="preserve"> σε απεικόνιση</w:t>
      </w:r>
      <w:r w:rsidRPr="00BF0161">
        <w:rPr>
          <w:lang w:val="el-GR"/>
        </w:rPr>
        <w:t xml:space="preserve"> της κατάποσης. </w:t>
      </w:r>
    </w:p>
    <w:p w14:paraId="5AE552C2" w14:textId="77777777" w:rsidR="008946C7" w:rsidRPr="003C4388" w:rsidRDefault="008946C7" w:rsidP="009A5C69">
      <w:pPr>
        <w:spacing w:after="120" w:line="360" w:lineRule="auto"/>
        <w:jc w:val="both"/>
        <w:rPr>
          <w:lang w:val="el-GR"/>
        </w:rPr>
      </w:pPr>
      <w:r w:rsidRPr="00BF0161">
        <w:rPr>
          <w:b/>
          <w:lang w:val="el-GR"/>
        </w:rPr>
        <w:t>Συμπεράσματα:</w:t>
      </w:r>
      <w:r w:rsidRPr="00BF0161">
        <w:rPr>
          <w:lang w:val="el-GR"/>
        </w:rPr>
        <w:t xml:space="preserve"> Διαφ</w:t>
      </w:r>
      <w:r w:rsidR="00FE500E">
        <w:rPr>
          <w:lang w:val="el-GR"/>
        </w:rPr>
        <w:t>αίνεται πως το ερωτηματολόγιο</w:t>
      </w:r>
      <w:r w:rsidRPr="00BF0161">
        <w:rPr>
          <w:lang w:val="el-GR"/>
        </w:rPr>
        <w:t xml:space="preserve"> είναι κατάλληλο προς στάθμιση στην ελλη</w:t>
      </w:r>
      <w:r w:rsidR="000264BA" w:rsidRPr="00BF0161">
        <w:rPr>
          <w:lang w:val="el-GR"/>
        </w:rPr>
        <w:t xml:space="preserve">νική πραγματικότητα. Θα πρέπει </w:t>
      </w:r>
      <w:r w:rsidR="00BB6D99">
        <w:rPr>
          <w:lang w:val="el-GR"/>
        </w:rPr>
        <w:t xml:space="preserve">όμως </w:t>
      </w:r>
      <w:r w:rsidR="000264BA" w:rsidRPr="00BF0161">
        <w:rPr>
          <w:lang w:val="el-GR"/>
        </w:rPr>
        <w:t>να χορηγηθεί</w:t>
      </w:r>
      <w:r w:rsidRPr="00BF0161">
        <w:rPr>
          <w:lang w:val="el-GR"/>
        </w:rPr>
        <w:t xml:space="preserve"> σε πληθυσμούς με </w:t>
      </w:r>
      <w:r w:rsidR="000264BA" w:rsidRPr="00BF0161">
        <w:rPr>
          <w:lang w:val="el-GR"/>
        </w:rPr>
        <w:t>διαταραχές</w:t>
      </w:r>
      <w:r w:rsidRPr="00BF0161">
        <w:rPr>
          <w:lang w:val="el-GR"/>
        </w:rPr>
        <w:t xml:space="preserve"> κατάποσης</w:t>
      </w:r>
      <w:r w:rsidR="000264BA" w:rsidRPr="00BF0161">
        <w:rPr>
          <w:lang w:val="el-GR"/>
        </w:rPr>
        <w:t xml:space="preserve"> λόγω καρκίνου</w:t>
      </w:r>
      <w:r w:rsidRPr="00BF0161">
        <w:rPr>
          <w:lang w:val="el-GR"/>
        </w:rPr>
        <w:t>.</w:t>
      </w:r>
    </w:p>
    <w:p w14:paraId="2AA4BF89" w14:textId="77777777" w:rsidR="008946C7" w:rsidRPr="00FD2D86" w:rsidRDefault="008946C7" w:rsidP="009A5C69">
      <w:pPr>
        <w:spacing w:after="120" w:line="360" w:lineRule="auto"/>
        <w:jc w:val="both"/>
        <w:rPr>
          <w:lang w:val="el-GR"/>
        </w:rPr>
      </w:pPr>
      <w:r w:rsidRPr="00BF0161">
        <w:rPr>
          <w:b/>
          <w:lang w:val="el-GR"/>
        </w:rPr>
        <w:t>Λέξεις Κλειδιά:</w:t>
      </w:r>
      <w:r w:rsidRPr="00BF0161">
        <w:rPr>
          <w:lang w:val="el-GR"/>
        </w:rPr>
        <w:t xml:space="preserve"> </w:t>
      </w:r>
      <w:r w:rsidR="005179EF">
        <w:rPr>
          <w:lang w:val="el-GR"/>
        </w:rPr>
        <w:t xml:space="preserve">Δυσφαγία, διαταραχές κατάποσης, </w:t>
      </w:r>
      <w:r w:rsidRPr="00BF0161">
        <w:rPr>
          <w:lang w:val="el-GR"/>
        </w:rPr>
        <w:t>ερωτηματολόγια, αυτοαντίληψη, πιλοτική εφαρμογή</w:t>
      </w:r>
    </w:p>
    <w:p w14:paraId="0D54A332" w14:textId="77777777" w:rsidR="00FE500E" w:rsidRDefault="00FE500E" w:rsidP="009A5C69">
      <w:pPr>
        <w:spacing w:line="360" w:lineRule="auto"/>
        <w:jc w:val="both"/>
        <w:rPr>
          <w:b/>
          <w:sz w:val="44"/>
          <w:szCs w:val="44"/>
          <w:lang w:val="el-GR"/>
        </w:rPr>
      </w:pPr>
    </w:p>
    <w:p w14:paraId="03056007" w14:textId="77777777" w:rsidR="008946C7" w:rsidRPr="00803347" w:rsidRDefault="008946C7" w:rsidP="00803347">
      <w:pPr>
        <w:pStyle w:val="1"/>
        <w:spacing w:before="0" w:after="120" w:line="360" w:lineRule="auto"/>
        <w:rPr>
          <w:rFonts w:cs="Times New Roman"/>
          <w:b w:val="0"/>
        </w:rPr>
      </w:pPr>
      <w:bookmarkStart w:id="5" w:name="_Toc493323953"/>
      <w:r w:rsidRPr="00803347">
        <w:rPr>
          <w:rFonts w:cs="Times New Roman"/>
        </w:rPr>
        <w:t>Abstract</w:t>
      </w:r>
      <w:bookmarkEnd w:id="5"/>
      <w:r w:rsidRPr="00803347">
        <w:rPr>
          <w:rFonts w:cs="Times New Roman"/>
        </w:rPr>
        <w:t xml:space="preserve"> </w:t>
      </w:r>
    </w:p>
    <w:p w14:paraId="00419C20" w14:textId="77777777" w:rsidR="008946C7" w:rsidRPr="00454AF2" w:rsidRDefault="008946C7" w:rsidP="009A5C69">
      <w:pPr>
        <w:spacing w:line="360" w:lineRule="auto"/>
        <w:jc w:val="both"/>
        <w:rPr>
          <w:lang w:val="en-US"/>
        </w:rPr>
      </w:pPr>
    </w:p>
    <w:p w14:paraId="700F3837" w14:textId="77777777" w:rsidR="00454AF2" w:rsidRDefault="00454AF2" w:rsidP="009A5C69">
      <w:pPr>
        <w:spacing w:after="120" w:line="360" w:lineRule="auto"/>
        <w:jc w:val="both"/>
        <w:rPr>
          <w:b/>
          <w:sz w:val="32"/>
          <w:lang w:val="en-US"/>
        </w:rPr>
      </w:pPr>
      <w:r w:rsidRPr="00454AF2">
        <w:rPr>
          <w:b/>
          <w:lang w:val="en-US"/>
        </w:rPr>
        <w:t>Purpose:</w:t>
      </w:r>
      <w:r w:rsidR="009A5C69">
        <w:rPr>
          <w:lang w:val="en-US"/>
        </w:rPr>
        <w:t xml:space="preserve"> Patients with head and neck </w:t>
      </w:r>
      <w:r w:rsidRPr="00454AF2">
        <w:rPr>
          <w:lang w:val="en-US"/>
        </w:rPr>
        <w:t xml:space="preserve">cancer are facing multiple health problems before and after diagnostic and therapeutic procedures. From a </w:t>
      </w:r>
      <w:proofErr w:type="spellStart"/>
      <w:r w:rsidRPr="00454AF2">
        <w:rPr>
          <w:lang w:val="en-US"/>
        </w:rPr>
        <w:t>logopathological</w:t>
      </w:r>
      <w:proofErr w:type="spellEnd"/>
      <w:r w:rsidRPr="00454AF2">
        <w:rPr>
          <w:lang w:val="en-US"/>
        </w:rPr>
        <w:t xml:space="preserve"> scope, most commonly present are difficulties in</w:t>
      </w:r>
      <w:r w:rsidR="00BB6D99">
        <w:rPr>
          <w:lang w:val="en-US"/>
        </w:rPr>
        <w:t xml:space="preserve"> swallow</w:t>
      </w:r>
      <w:r w:rsidR="00BB6D99">
        <w:rPr>
          <w:lang w:val="en-US"/>
        </w:rPr>
        <w:lastRenderedPageBreak/>
        <w:t>ing such as dehydration or</w:t>
      </w:r>
      <w:r w:rsidRPr="00454AF2">
        <w:rPr>
          <w:lang w:val="en-US"/>
        </w:rPr>
        <w:t xml:space="preserve"> malnutrition, frequent absorptions and intrusions. The </w:t>
      </w:r>
      <w:proofErr w:type="spellStart"/>
      <w:r w:rsidRPr="00454AF2">
        <w:rPr>
          <w:lang w:val="en-US"/>
        </w:rPr>
        <w:t>logopathological</w:t>
      </w:r>
      <w:proofErr w:type="spellEnd"/>
      <w:r w:rsidRPr="00454AF2">
        <w:rPr>
          <w:lang w:val="en-US"/>
        </w:rPr>
        <w:t xml:space="preserve"> evaluation of swallowing disorders is usually done by use of various imaging methods,</w:t>
      </w:r>
      <w:r w:rsidR="00AE1DB9">
        <w:rPr>
          <w:lang w:val="en-US"/>
        </w:rPr>
        <w:t xml:space="preserve"> in person examination and self</w:t>
      </w:r>
      <w:r w:rsidR="00AE1DB9" w:rsidRPr="00AE1DB9">
        <w:rPr>
          <w:lang w:val="en-US"/>
        </w:rPr>
        <w:t>-</w:t>
      </w:r>
      <w:r w:rsidRPr="00454AF2">
        <w:rPr>
          <w:lang w:val="en-US"/>
        </w:rPr>
        <w:t>reporting questionnaires. The purpose of this pil</w:t>
      </w:r>
      <w:r>
        <w:rPr>
          <w:lang w:val="en-US"/>
        </w:rPr>
        <w:t>ot study was to evaluate a self</w:t>
      </w:r>
      <w:r w:rsidR="00BB6D99">
        <w:rPr>
          <w:lang w:val="en-US"/>
        </w:rPr>
        <w:t>-</w:t>
      </w:r>
      <w:r w:rsidRPr="00454AF2">
        <w:rPr>
          <w:lang w:val="en-US"/>
        </w:rPr>
        <w:t xml:space="preserve"> reporting questionnaire for dysphagia in typical adults that suffer from neck cancer.</w:t>
      </w:r>
      <w:r w:rsidRPr="00454AF2">
        <w:rPr>
          <w:b/>
          <w:sz w:val="32"/>
          <w:lang w:val="en-US"/>
        </w:rPr>
        <w:t xml:space="preserve">  </w:t>
      </w:r>
    </w:p>
    <w:p w14:paraId="12EC767C" w14:textId="77777777" w:rsidR="00454AF2" w:rsidRPr="00454AF2" w:rsidRDefault="00454AF2" w:rsidP="009A5C69">
      <w:pPr>
        <w:spacing w:after="120" w:line="360" w:lineRule="auto"/>
        <w:jc w:val="both"/>
        <w:rPr>
          <w:lang w:val="en-US"/>
        </w:rPr>
      </w:pPr>
      <w:r>
        <w:rPr>
          <w:b/>
          <w:lang w:val="en-US"/>
        </w:rPr>
        <w:t>Method</w:t>
      </w:r>
      <w:r w:rsidRPr="00454AF2">
        <w:rPr>
          <w:b/>
          <w:lang w:val="en-US"/>
        </w:rPr>
        <w:t>:</w:t>
      </w:r>
      <w:r w:rsidR="00BB6D99">
        <w:rPr>
          <w:lang w:val="en-US"/>
        </w:rPr>
        <w:t xml:space="preserve"> A</w:t>
      </w:r>
      <w:r w:rsidRPr="00454AF2">
        <w:rPr>
          <w:lang w:val="en-US"/>
        </w:rPr>
        <w:t xml:space="preserve"> total of 360 typical adults (180 males and 180 females) aged betw</w:t>
      </w:r>
      <w:r>
        <w:rPr>
          <w:lang w:val="en-US"/>
        </w:rPr>
        <w:t>een 18 and 91 were given a self</w:t>
      </w:r>
      <w:r w:rsidR="00BB6D99">
        <w:rPr>
          <w:lang w:val="en-US"/>
        </w:rPr>
        <w:t>-</w:t>
      </w:r>
      <w:r w:rsidRPr="00454AF2">
        <w:rPr>
          <w:lang w:val="en-US"/>
        </w:rPr>
        <w:t xml:space="preserve">reporting questionnaire for swallowing ability. The questionnaire was adjusted to the Greek language according to the minimum translational criteria. </w:t>
      </w:r>
    </w:p>
    <w:p w14:paraId="148A3AE8" w14:textId="77777777" w:rsidR="00454AF2" w:rsidRPr="00454AF2" w:rsidRDefault="00454AF2" w:rsidP="009A5C69">
      <w:pPr>
        <w:spacing w:after="120" w:line="360" w:lineRule="auto"/>
        <w:jc w:val="both"/>
        <w:rPr>
          <w:b/>
          <w:sz w:val="32"/>
          <w:lang w:val="en-US"/>
        </w:rPr>
      </w:pPr>
      <w:r w:rsidRPr="00454AF2">
        <w:rPr>
          <w:b/>
          <w:lang w:val="en-US"/>
        </w:rPr>
        <w:t>Results:</w:t>
      </w:r>
      <w:r w:rsidR="00BB6D99">
        <w:rPr>
          <w:lang w:val="en-US"/>
        </w:rPr>
        <w:t xml:space="preserve"> A</w:t>
      </w:r>
      <w:r w:rsidRPr="00454AF2">
        <w:rPr>
          <w:lang w:val="en-US"/>
        </w:rPr>
        <w:t>nalysis showed differences between different age groups of this study. Differences in total scoring were observed especially between age groups 18-30 and</w:t>
      </w:r>
      <w:r w:rsidR="00BB6D99">
        <w:rPr>
          <w:lang w:val="en-US"/>
        </w:rPr>
        <w:t xml:space="preserve"> the elderly age groups of</w:t>
      </w:r>
      <w:r w:rsidRPr="00454AF2">
        <w:rPr>
          <w:lang w:val="en-US"/>
        </w:rPr>
        <w:t xml:space="preserve"> 70+. The validity of the questionnaire was very high (a-Cronbach&gt;. 800) and internal cohesiveness was strong.</w:t>
      </w:r>
    </w:p>
    <w:p w14:paraId="1602912E" w14:textId="77777777" w:rsidR="00BB6D99" w:rsidRDefault="00454AF2" w:rsidP="009A5C69">
      <w:pPr>
        <w:spacing w:after="120" w:line="360" w:lineRule="auto"/>
        <w:jc w:val="both"/>
        <w:rPr>
          <w:lang w:val="en-US"/>
        </w:rPr>
      </w:pPr>
      <w:r>
        <w:rPr>
          <w:b/>
          <w:lang w:val="en-US"/>
        </w:rPr>
        <w:t>Discussion</w:t>
      </w:r>
      <w:r w:rsidRPr="00454AF2">
        <w:rPr>
          <w:b/>
          <w:lang w:val="en-US"/>
        </w:rPr>
        <w:t>:</w:t>
      </w:r>
      <w:r>
        <w:rPr>
          <w:b/>
          <w:sz w:val="32"/>
          <w:lang w:val="en-US"/>
        </w:rPr>
        <w:t xml:space="preserve"> </w:t>
      </w:r>
      <w:r w:rsidR="00BB6D99">
        <w:rPr>
          <w:lang w:val="en-US"/>
        </w:rPr>
        <w:t>T</w:t>
      </w:r>
      <w:r w:rsidRPr="00454AF2">
        <w:rPr>
          <w:lang w:val="en-US"/>
        </w:rPr>
        <w:t>he evaluation questionnaire for swallowing disorders caused by neck cancer can provide information relevant to self-</w:t>
      </w:r>
      <w:proofErr w:type="spellStart"/>
      <w:r w:rsidRPr="00454AF2">
        <w:rPr>
          <w:lang w:val="en-US"/>
        </w:rPr>
        <w:t>assesed</w:t>
      </w:r>
      <w:proofErr w:type="spellEnd"/>
      <w:r w:rsidRPr="00454AF2">
        <w:rPr>
          <w:lang w:val="en-US"/>
        </w:rPr>
        <w:t xml:space="preserve"> swallowing </w:t>
      </w:r>
      <w:r w:rsidRPr="00454AF2">
        <w:rPr>
          <w:lang w:val="en-US"/>
        </w:rPr>
        <w:lastRenderedPageBreak/>
        <w:t xml:space="preserve">ability. This questionnaire can be used as a first level evaluation tool and contribute to decision making in imaging referrals. </w:t>
      </w:r>
    </w:p>
    <w:p w14:paraId="7B883C58" w14:textId="0762AC06" w:rsidR="00454AF2" w:rsidRDefault="00BB6D99" w:rsidP="009A5C69">
      <w:pPr>
        <w:spacing w:after="120" w:line="360" w:lineRule="auto"/>
        <w:jc w:val="both"/>
        <w:rPr>
          <w:lang w:val="en-US"/>
        </w:rPr>
      </w:pPr>
      <w:r>
        <w:rPr>
          <w:b/>
          <w:lang w:val="en-US"/>
        </w:rPr>
        <w:t>C</w:t>
      </w:r>
      <w:r w:rsidR="00454AF2" w:rsidRPr="00BB6D99">
        <w:rPr>
          <w:b/>
          <w:lang w:val="en-US"/>
        </w:rPr>
        <w:t>onclusions:</w:t>
      </w:r>
      <w:r>
        <w:rPr>
          <w:lang w:val="en-US"/>
        </w:rPr>
        <w:t xml:space="preserve"> T</w:t>
      </w:r>
      <w:r w:rsidR="00454AF2" w:rsidRPr="00454AF2">
        <w:rPr>
          <w:lang w:val="en-US"/>
        </w:rPr>
        <w:t xml:space="preserve">his questionnaire is suitable for evaluation in Greece. </w:t>
      </w:r>
      <w:r w:rsidR="00425753">
        <w:rPr>
          <w:lang w:val="en-US"/>
        </w:rPr>
        <w:t>Although, i</w:t>
      </w:r>
      <w:r w:rsidR="00454AF2" w:rsidRPr="00454AF2">
        <w:rPr>
          <w:lang w:val="en-US"/>
        </w:rPr>
        <w:t>t</w:t>
      </w:r>
      <w:r w:rsidR="00425753">
        <w:rPr>
          <w:lang w:val="en-US"/>
        </w:rPr>
        <w:t xml:space="preserve"> must </w:t>
      </w:r>
      <w:r w:rsidR="00454AF2" w:rsidRPr="00454AF2">
        <w:rPr>
          <w:lang w:val="en-US"/>
        </w:rPr>
        <w:t>be used in populations with swallowing disorders due to cancer.</w:t>
      </w:r>
    </w:p>
    <w:p w14:paraId="347FE35F" w14:textId="77777777" w:rsidR="00454AF2" w:rsidRPr="00454AF2" w:rsidRDefault="00454AF2" w:rsidP="009A5C69">
      <w:pPr>
        <w:spacing w:after="120" w:line="360" w:lineRule="auto"/>
        <w:jc w:val="both"/>
        <w:rPr>
          <w:lang w:val="en-US"/>
        </w:rPr>
      </w:pPr>
      <w:r>
        <w:rPr>
          <w:b/>
          <w:lang w:val="en-US"/>
        </w:rPr>
        <w:t>Key words</w:t>
      </w:r>
      <w:r w:rsidRPr="00454AF2">
        <w:rPr>
          <w:b/>
          <w:lang w:val="en-US"/>
        </w:rPr>
        <w:t>:</w:t>
      </w:r>
      <w:r w:rsidRPr="00454AF2">
        <w:rPr>
          <w:lang w:val="en-US"/>
        </w:rPr>
        <w:t xml:space="preserve"> d</w:t>
      </w:r>
      <w:r w:rsidR="00AE1DB9">
        <w:rPr>
          <w:lang w:val="en-US"/>
        </w:rPr>
        <w:t xml:space="preserve">ysphagia, swallowing disorders, </w:t>
      </w:r>
      <w:r w:rsidRPr="00454AF2">
        <w:rPr>
          <w:lang w:val="en-US"/>
        </w:rPr>
        <w:t>questionnaires, pilot studies, self</w:t>
      </w:r>
      <w:r w:rsidR="00AE1DB9" w:rsidRPr="00AE1DB9">
        <w:rPr>
          <w:lang w:val="en-US"/>
        </w:rPr>
        <w:t>-</w:t>
      </w:r>
      <w:r w:rsidRPr="00454AF2">
        <w:rPr>
          <w:lang w:val="en-US"/>
        </w:rPr>
        <w:t>assessment</w:t>
      </w:r>
    </w:p>
    <w:p w14:paraId="29428077" w14:textId="77777777" w:rsidR="008946C7" w:rsidRPr="009F0BBA" w:rsidRDefault="008946C7" w:rsidP="009A5C69">
      <w:pPr>
        <w:spacing w:line="360" w:lineRule="auto"/>
        <w:jc w:val="both"/>
        <w:rPr>
          <w:lang w:val="en-US"/>
        </w:rPr>
      </w:pPr>
    </w:p>
    <w:p w14:paraId="77471D9C" w14:textId="77777777" w:rsidR="008946C7" w:rsidRPr="009F0BBA" w:rsidRDefault="008946C7" w:rsidP="008946C7">
      <w:pPr>
        <w:spacing w:line="360" w:lineRule="auto"/>
        <w:jc w:val="both"/>
        <w:rPr>
          <w:lang w:val="en-US"/>
        </w:rPr>
      </w:pPr>
    </w:p>
    <w:p w14:paraId="7E47D557" w14:textId="77777777" w:rsidR="008946C7" w:rsidRPr="009F0BBA" w:rsidRDefault="008946C7" w:rsidP="008946C7">
      <w:pPr>
        <w:spacing w:line="360" w:lineRule="auto"/>
        <w:jc w:val="both"/>
        <w:rPr>
          <w:lang w:val="en-US"/>
        </w:rPr>
      </w:pPr>
    </w:p>
    <w:p w14:paraId="24D06B8F" w14:textId="77777777" w:rsidR="001D55EA" w:rsidRPr="00DA4172" w:rsidRDefault="001D55EA" w:rsidP="008946C7">
      <w:pPr>
        <w:pStyle w:val="1"/>
        <w:rPr>
          <w:rFonts w:eastAsia="Droid Sans Fallback" w:cs="Times New Roman"/>
          <w:sz w:val="24"/>
          <w:szCs w:val="24"/>
          <w:lang w:eastAsia="en-GB"/>
        </w:rPr>
      </w:pPr>
      <w:bookmarkStart w:id="6" w:name="_Toc487733245"/>
    </w:p>
    <w:p w14:paraId="6ABB17A7" w14:textId="77777777" w:rsidR="006F25E1" w:rsidRPr="00DA4172" w:rsidRDefault="006F25E1" w:rsidP="006F25E1">
      <w:pPr>
        <w:rPr>
          <w:lang w:val="en-US"/>
        </w:rPr>
      </w:pPr>
    </w:p>
    <w:p w14:paraId="26873F2E" w14:textId="77777777" w:rsidR="006F25E1" w:rsidRPr="00DA4172" w:rsidRDefault="006F25E1" w:rsidP="006F25E1">
      <w:pPr>
        <w:rPr>
          <w:lang w:val="en-US"/>
        </w:rPr>
      </w:pPr>
    </w:p>
    <w:p w14:paraId="2D8F9590" w14:textId="77777777" w:rsidR="008946C7" w:rsidRDefault="008946C7" w:rsidP="006F25E1">
      <w:pPr>
        <w:pStyle w:val="1"/>
        <w:spacing w:before="0" w:after="120" w:line="360" w:lineRule="auto"/>
        <w:rPr>
          <w:rFonts w:eastAsiaTheme="minorHAnsi" w:cs="Times New Roman"/>
          <w:b w:val="0"/>
          <w:szCs w:val="44"/>
          <w:lang w:val="el-GR"/>
        </w:rPr>
      </w:pPr>
      <w:bookmarkStart w:id="7" w:name="_Toc493323954"/>
      <w:r w:rsidRPr="001D55EA">
        <w:rPr>
          <w:rFonts w:eastAsiaTheme="minorHAnsi" w:cs="Times New Roman"/>
          <w:szCs w:val="44"/>
          <w:lang w:val="el-GR"/>
        </w:rPr>
        <w:t>Περιεχόμενα</w:t>
      </w:r>
      <w:bookmarkEnd w:id="6"/>
      <w:bookmarkEnd w:id="7"/>
    </w:p>
    <w:sdt>
      <w:sdtPr>
        <w:rPr>
          <w:rFonts w:eastAsia="Droid Sans Fallback" w:cs="Times New Roman"/>
          <w:b/>
          <w:bCs w:val="0"/>
          <w:sz w:val="24"/>
          <w:szCs w:val="24"/>
          <w:lang w:val="en-GB" w:eastAsia="en-GB"/>
        </w:rPr>
        <w:id w:val="776223613"/>
        <w:docPartObj>
          <w:docPartGallery w:val="Table of Contents"/>
          <w:docPartUnique/>
        </w:docPartObj>
      </w:sdtPr>
      <w:sdtEndPr>
        <w:rPr>
          <w:b w:val="0"/>
        </w:rPr>
      </w:sdtEndPr>
      <w:sdtContent>
        <w:p w14:paraId="78698495" w14:textId="77777777" w:rsidR="006F25E1" w:rsidRPr="006F25E1" w:rsidRDefault="006F25E1">
          <w:pPr>
            <w:pStyle w:val="ad"/>
            <w:rPr>
              <w:rFonts w:cs="Times New Roman"/>
              <w:sz w:val="24"/>
              <w:szCs w:val="24"/>
            </w:rPr>
          </w:pPr>
        </w:p>
        <w:p w14:paraId="3E5A3CF3" w14:textId="1C487748" w:rsidR="001F2C5F" w:rsidRDefault="00DE6A4C">
          <w:pPr>
            <w:pStyle w:val="14"/>
            <w:rPr>
              <w:rFonts w:eastAsiaTheme="minorEastAsia"/>
              <w:noProof/>
              <w:lang w:eastAsia="el-GR"/>
            </w:rPr>
          </w:pPr>
          <w:r w:rsidRPr="006F25E1">
            <w:fldChar w:fldCharType="begin"/>
          </w:r>
          <w:r w:rsidR="006F25E1" w:rsidRPr="006F25E1">
            <w:instrText xml:space="preserve"> TOC \o "1-3" \h \z \u </w:instrText>
          </w:r>
          <w:r w:rsidRPr="006F25E1">
            <w:fldChar w:fldCharType="separate"/>
          </w:r>
          <w:hyperlink w:anchor="_Toc493323951" w:history="1">
            <w:r w:rsidR="001F2C5F" w:rsidRPr="00AE3D69">
              <w:rPr>
                <w:rStyle w:val="-"/>
                <w:noProof/>
              </w:rPr>
              <w:t>Ευχαριστίες</w:t>
            </w:r>
            <w:r w:rsidR="001F2C5F">
              <w:rPr>
                <w:noProof/>
                <w:webHidden/>
              </w:rPr>
              <w:tab/>
            </w:r>
            <w:r w:rsidR="001F2C5F">
              <w:rPr>
                <w:noProof/>
                <w:webHidden/>
              </w:rPr>
              <w:fldChar w:fldCharType="begin"/>
            </w:r>
            <w:r w:rsidR="001F2C5F">
              <w:rPr>
                <w:noProof/>
                <w:webHidden/>
              </w:rPr>
              <w:instrText xml:space="preserve"> PAGEREF _Toc493323951 \h </w:instrText>
            </w:r>
            <w:r w:rsidR="001F2C5F">
              <w:rPr>
                <w:noProof/>
                <w:webHidden/>
              </w:rPr>
            </w:r>
            <w:r w:rsidR="001F2C5F">
              <w:rPr>
                <w:noProof/>
                <w:webHidden/>
              </w:rPr>
              <w:fldChar w:fldCharType="separate"/>
            </w:r>
            <w:r w:rsidR="001136D4">
              <w:rPr>
                <w:noProof/>
                <w:webHidden/>
              </w:rPr>
              <w:t>VII</w:t>
            </w:r>
            <w:r w:rsidR="001F2C5F">
              <w:rPr>
                <w:noProof/>
                <w:webHidden/>
              </w:rPr>
              <w:fldChar w:fldCharType="end"/>
            </w:r>
          </w:hyperlink>
        </w:p>
        <w:p w14:paraId="26E112E4" w14:textId="1F855702" w:rsidR="001F2C5F" w:rsidRDefault="00EA16F3">
          <w:pPr>
            <w:pStyle w:val="14"/>
            <w:rPr>
              <w:rFonts w:eastAsiaTheme="minorEastAsia"/>
              <w:noProof/>
              <w:lang w:eastAsia="el-GR"/>
            </w:rPr>
          </w:pPr>
          <w:hyperlink w:anchor="_Toc493323952" w:history="1">
            <w:r w:rsidR="001F2C5F" w:rsidRPr="00AE3D69">
              <w:rPr>
                <w:rStyle w:val="-"/>
                <w:rFonts w:cs="Times New Roman"/>
                <w:noProof/>
              </w:rPr>
              <w:t>Περίληψη</w:t>
            </w:r>
            <w:r w:rsidR="001F2C5F">
              <w:rPr>
                <w:noProof/>
                <w:webHidden/>
              </w:rPr>
              <w:tab/>
            </w:r>
            <w:r w:rsidR="001F2C5F">
              <w:rPr>
                <w:noProof/>
                <w:webHidden/>
              </w:rPr>
              <w:fldChar w:fldCharType="begin"/>
            </w:r>
            <w:r w:rsidR="001F2C5F">
              <w:rPr>
                <w:noProof/>
                <w:webHidden/>
              </w:rPr>
              <w:instrText xml:space="preserve"> PAGEREF _Toc493323952 \h </w:instrText>
            </w:r>
            <w:r w:rsidR="001F2C5F">
              <w:rPr>
                <w:noProof/>
                <w:webHidden/>
              </w:rPr>
            </w:r>
            <w:r w:rsidR="001F2C5F">
              <w:rPr>
                <w:noProof/>
                <w:webHidden/>
              </w:rPr>
              <w:fldChar w:fldCharType="separate"/>
            </w:r>
            <w:r w:rsidR="001136D4">
              <w:rPr>
                <w:noProof/>
                <w:webHidden/>
              </w:rPr>
              <w:t>VIII</w:t>
            </w:r>
            <w:r w:rsidR="001F2C5F">
              <w:rPr>
                <w:noProof/>
                <w:webHidden/>
              </w:rPr>
              <w:fldChar w:fldCharType="end"/>
            </w:r>
          </w:hyperlink>
        </w:p>
        <w:p w14:paraId="239E7BCA" w14:textId="0EA87445" w:rsidR="001F2C5F" w:rsidRDefault="00EA16F3">
          <w:pPr>
            <w:pStyle w:val="14"/>
            <w:rPr>
              <w:rFonts w:eastAsiaTheme="minorEastAsia"/>
              <w:noProof/>
              <w:lang w:eastAsia="el-GR"/>
            </w:rPr>
          </w:pPr>
          <w:hyperlink w:anchor="_Toc493323953" w:history="1">
            <w:r w:rsidR="001F2C5F" w:rsidRPr="00AE3D69">
              <w:rPr>
                <w:rStyle w:val="-"/>
                <w:rFonts w:cs="Times New Roman"/>
                <w:noProof/>
              </w:rPr>
              <w:t>Abstract</w:t>
            </w:r>
            <w:r w:rsidR="001F2C5F">
              <w:rPr>
                <w:noProof/>
                <w:webHidden/>
              </w:rPr>
              <w:tab/>
            </w:r>
            <w:r w:rsidR="001F2C5F">
              <w:rPr>
                <w:noProof/>
                <w:webHidden/>
              </w:rPr>
              <w:fldChar w:fldCharType="begin"/>
            </w:r>
            <w:r w:rsidR="001F2C5F">
              <w:rPr>
                <w:noProof/>
                <w:webHidden/>
              </w:rPr>
              <w:instrText xml:space="preserve"> PAGEREF _Toc493323953 \h </w:instrText>
            </w:r>
            <w:r w:rsidR="001F2C5F">
              <w:rPr>
                <w:noProof/>
                <w:webHidden/>
              </w:rPr>
            </w:r>
            <w:r w:rsidR="001F2C5F">
              <w:rPr>
                <w:noProof/>
                <w:webHidden/>
              </w:rPr>
              <w:fldChar w:fldCharType="separate"/>
            </w:r>
            <w:r w:rsidR="001136D4">
              <w:rPr>
                <w:noProof/>
                <w:webHidden/>
              </w:rPr>
              <w:t>IX</w:t>
            </w:r>
            <w:r w:rsidR="001F2C5F">
              <w:rPr>
                <w:noProof/>
                <w:webHidden/>
              </w:rPr>
              <w:fldChar w:fldCharType="end"/>
            </w:r>
          </w:hyperlink>
        </w:p>
        <w:p w14:paraId="11FFA863" w14:textId="797849A9" w:rsidR="001F2C5F" w:rsidRDefault="00EA16F3">
          <w:pPr>
            <w:pStyle w:val="14"/>
            <w:rPr>
              <w:rFonts w:eastAsiaTheme="minorEastAsia"/>
              <w:noProof/>
              <w:lang w:eastAsia="el-GR"/>
            </w:rPr>
          </w:pPr>
          <w:hyperlink w:anchor="_Toc493323954" w:history="1">
            <w:r w:rsidR="001F2C5F" w:rsidRPr="00AE3D69">
              <w:rPr>
                <w:rStyle w:val="-"/>
                <w:rFonts w:cs="Times New Roman"/>
                <w:noProof/>
              </w:rPr>
              <w:t>Περιεχόμενα</w:t>
            </w:r>
            <w:r w:rsidR="001F2C5F">
              <w:rPr>
                <w:noProof/>
                <w:webHidden/>
              </w:rPr>
              <w:tab/>
            </w:r>
            <w:r w:rsidR="001F2C5F">
              <w:rPr>
                <w:noProof/>
                <w:webHidden/>
              </w:rPr>
              <w:fldChar w:fldCharType="begin"/>
            </w:r>
            <w:r w:rsidR="001F2C5F">
              <w:rPr>
                <w:noProof/>
                <w:webHidden/>
              </w:rPr>
              <w:instrText xml:space="preserve"> PAGEREF _Toc493323954 \h </w:instrText>
            </w:r>
            <w:r w:rsidR="001F2C5F">
              <w:rPr>
                <w:noProof/>
                <w:webHidden/>
              </w:rPr>
            </w:r>
            <w:r w:rsidR="001F2C5F">
              <w:rPr>
                <w:noProof/>
                <w:webHidden/>
              </w:rPr>
              <w:fldChar w:fldCharType="separate"/>
            </w:r>
            <w:r w:rsidR="001136D4">
              <w:rPr>
                <w:noProof/>
                <w:webHidden/>
              </w:rPr>
              <w:t>X</w:t>
            </w:r>
            <w:r w:rsidR="001F2C5F">
              <w:rPr>
                <w:noProof/>
                <w:webHidden/>
              </w:rPr>
              <w:fldChar w:fldCharType="end"/>
            </w:r>
          </w:hyperlink>
        </w:p>
        <w:p w14:paraId="17EB93B1" w14:textId="7E1AD9F7" w:rsidR="001F2C5F" w:rsidRDefault="00EA16F3">
          <w:pPr>
            <w:pStyle w:val="14"/>
            <w:rPr>
              <w:rFonts w:eastAsiaTheme="minorEastAsia"/>
              <w:noProof/>
              <w:lang w:eastAsia="el-GR"/>
            </w:rPr>
          </w:pPr>
          <w:hyperlink w:anchor="_Toc493323955" w:history="1">
            <w:r w:rsidR="001F2C5F" w:rsidRPr="00AE3D69">
              <w:rPr>
                <w:rStyle w:val="-"/>
                <w:rFonts w:cs="Times New Roman"/>
                <w:noProof/>
              </w:rPr>
              <w:t>Κεφάλαιο 1: Εισαγωγικά στοιχεία</w:t>
            </w:r>
            <w:r w:rsidR="001F2C5F">
              <w:rPr>
                <w:noProof/>
                <w:webHidden/>
              </w:rPr>
              <w:tab/>
            </w:r>
            <w:r w:rsidR="001F2C5F">
              <w:rPr>
                <w:noProof/>
                <w:webHidden/>
              </w:rPr>
              <w:fldChar w:fldCharType="begin"/>
            </w:r>
            <w:r w:rsidR="001F2C5F">
              <w:rPr>
                <w:noProof/>
                <w:webHidden/>
              </w:rPr>
              <w:instrText xml:space="preserve"> PAGEREF _Toc493323955 \h </w:instrText>
            </w:r>
            <w:r w:rsidR="001F2C5F">
              <w:rPr>
                <w:noProof/>
                <w:webHidden/>
              </w:rPr>
            </w:r>
            <w:r w:rsidR="001F2C5F">
              <w:rPr>
                <w:noProof/>
                <w:webHidden/>
              </w:rPr>
              <w:fldChar w:fldCharType="separate"/>
            </w:r>
            <w:r w:rsidR="001136D4">
              <w:rPr>
                <w:noProof/>
                <w:webHidden/>
              </w:rPr>
              <w:t>1</w:t>
            </w:r>
            <w:r w:rsidR="001F2C5F">
              <w:rPr>
                <w:noProof/>
                <w:webHidden/>
              </w:rPr>
              <w:fldChar w:fldCharType="end"/>
            </w:r>
          </w:hyperlink>
        </w:p>
        <w:p w14:paraId="438DA9D8" w14:textId="5D85978A" w:rsidR="001F2C5F" w:rsidRDefault="00EA16F3">
          <w:pPr>
            <w:pStyle w:val="20"/>
            <w:tabs>
              <w:tab w:val="right" w:leader="dot" w:pos="8659"/>
            </w:tabs>
            <w:rPr>
              <w:rFonts w:eastAsiaTheme="minorEastAsia"/>
              <w:noProof/>
              <w:lang w:eastAsia="el-GR"/>
            </w:rPr>
          </w:pPr>
          <w:hyperlink w:anchor="_Toc493323956" w:history="1">
            <w:r w:rsidR="001F2C5F" w:rsidRPr="00AE3D69">
              <w:rPr>
                <w:rStyle w:val="-"/>
                <w:rFonts w:cs="Times New Roman"/>
                <w:noProof/>
              </w:rPr>
              <w:t>1. 1 Ανατομία και φυσιολογία δομών κατάποσης</w:t>
            </w:r>
            <w:r w:rsidR="001F2C5F">
              <w:rPr>
                <w:noProof/>
                <w:webHidden/>
              </w:rPr>
              <w:tab/>
            </w:r>
            <w:r w:rsidR="001F2C5F">
              <w:rPr>
                <w:noProof/>
                <w:webHidden/>
              </w:rPr>
              <w:fldChar w:fldCharType="begin"/>
            </w:r>
            <w:r w:rsidR="001F2C5F">
              <w:rPr>
                <w:noProof/>
                <w:webHidden/>
              </w:rPr>
              <w:instrText xml:space="preserve"> PAGEREF _Toc493323956 \h </w:instrText>
            </w:r>
            <w:r w:rsidR="001F2C5F">
              <w:rPr>
                <w:noProof/>
                <w:webHidden/>
              </w:rPr>
            </w:r>
            <w:r w:rsidR="001F2C5F">
              <w:rPr>
                <w:noProof/>
                <w:webHidden/>
              </w:rPr>
              <w:fldChar w:fldCharType="separate"/>
            </w:r>
            <w:r w:rsidR="001136D4">
              <w:rPr>
                <w:noProof/>
                <w:webHidden/>
              </w:rPr>
              <w:t>1</w:t>
            </w:r>
            <w:r w:rsidR="001F2C5F">
              <w:rPr>
                <w:noProof/>
                <w:webHidden/>
              </w:rPr>
              <w:fldChar w:fldCharType="end"/>
            </w:r>
          </w:hyperlink>
        </w:p>
        <w:p w14:paraId="2CB99451" w14:textId="601E4F24" w:rsidR="001F2C5F" w:rsidRDefault="00EA16F3">
          <w:pPr>
            <w:pStyle w:val="20"/>
            <w:tabs>
              <w:tab w:val="right" w:leader="dot" w:pos="8659"/>
            </w:tabs>
            <w:rPr>
              <w:rFonts w:eastAsiaTheme="minorEastAsia"/>
              <w:noProof/>
              <w:lang w:eastAsia="el-GR"/>
            </w:rPr>
          </w:pPr>
          <w:hyperlink w:anchor="_Toc493323957" w:history="1">
            <w:r w:rsidR="001F2C5F" w:rsidRPr="00AE3D69">
              <w:rPr>
                <w:rStyle w:val="-"/>
                <w:rFonts w:cs="Times New Roman"/>
                <w:noProof/>
              </w:rPr>
              <w:t>1.1.2 Ανατομία και φυσιολογία φάρυγγα</w:t>
            </w:r>
            <w:r w:rsidR="001F2C5F">
              <w:rPr>
                <w:noProof/>
                <w:webHidden/>
              </w:rPr>
              <w:tab/>
            </w:r>
            <w:r w:rsidR="001F2C5F">
              <w:rPr>
                <w:noProof/>
                <w:webHidden/>
              </w:rPr>
              <w:fldChar w:fldCharType="begin"/>
            </w:r>
            <w:r w:rsidR="001F2C5F">
              <w:rPr>
                <w:noProof/>
                <w:webHidden/>
              </w:rPr>
              <w:instrText xml:space="preserve"> PAGEREF _Toc493323957 \h </w:instrText>
            </w:r>
            <w:r w:rsidR="001F2C5F">
              <w:rPr>
                <w:noProof/>
                <w:webHidden/>
              </w:rPr>
            </w:r>
            <w:r w:rsidR="001F2C5F">
              <w:rPr>
                <w:noProof/>
                <w:webHidden/>
              </w:rPr>
              <w:fldChar w:fldCharType="separate"/>
            </w:r>
            <w:r w:rsidR="001136D4">
              <w:rPr>
                <w:noProof/>
                <w:webHidden/>
              </w:rPr>
              <w:t>2</w:t>
            </w:r>
            <w:r w:rsidR="001F2C5F">
              <w:rPr>
                <w:noProof/>
                <w:webHidden/>
              </w:rPr>
              <w:fldChar w:fldCharType="end"/>
            </w:r>
          </w:hyperlink>
        </w:p>
        <w:p w14:paraId="667BC0E3" w14:textId="723B9F17" w:rsidR="001F2C5F" w:rsidRDefault="00EA16F3">
          <w:pPr>
            <w:pStyle w:val="20"/>
            <w:tabs>
              <w:tab w:val="right" w:leader="dot" w:pos="8659"/>
            </w:tabs>
            <w:rPr>
              <w:rFonts w:eastAsiaTheme="minorEastAsia"/>
              <w:noProof/>
              <w:lang w:eastAsia="el-GR"/>
            </w:rPr>
          </w:pPr>
          <w:hyperlink w:anchor="_Toc493323958" w:history="1">
            <w:r w:rsidR="001F2C5F" w:rsidRPr="00AE3D69">
              <w:rPr>
                <w:rStyle w:val="-"/>
                <w:noProof/>
              </w:rPr>
              <w:t>1.1.3 Ανατομία και φυσιολογία λάρυγγα</w:t>
            </w:r>
            <w:r w:rsidR="001F2C5F">
              <w:rPr>
                <w:noProof/>
                <w:webHidden/>
              </w:rPr>
              <w:tab/>
            </w:r>
            <w:r w:rsidR="001F2C5F">
              <w:rPr>
                <w:noProof/>
                <w:webHidden/>
              </w:rPr>
              <w:fldChar w:fldCharType="begin"/>
            </w:r>
            <w:r w:rsidR="001F2C5F">
              <w:rPr>
                <w:noProof/>
                <w:webHidden/>
              </w:rPr>
              <w:instrText xml:space="preserve"> PAGEREF _Toc493323958 \h </w:instrText>
            </w:r>
            <w:r w:rsidR="001F2C5F">
              <w:rPr>
                <w:noProof/>
                <w:webHidden/>
              </w:rPr>
            </w:r>
            <w:r w:rsidR="001F2C5F">
              <w:rPr>
                <w:noProof/>
                <w:webHidden/>
              </w:rPr>
              <w:fldChar w:fldCharType="separate"/>
            </w:r>
            <w:r w:rsidR="001136D4">
              <w:rPr>
                <w:noProof/>
                <w:webHidden/>
              </w:rPr>
              <w:t>3</w:t>
            </w:r>
            <w:r w:rsidR="001F2C5F">
              <w:rPr>
                <w:noProof/>
                <w:webHidden/>
              </w:rPr>
              <w:fldChar w:fldCharType="end"/>
            </w:r>
          </w:hyperlink>
        </w:p>
        <w:p w14:paraId="34A3C006" w14:textId="50692459" w:rsidR="001F2C5F" w:rsidRDefault="00EA16F3">
          <w:pPr>
            <w:pStyle w:val="20"/>
            <w:tabs>
              <w:tab w:val="right" w:leader="dot" w:pos="8659"/>
            </w:tabs>
            <w:rPr>
              <w:rFonts w:eastAsiaTheme="minorEastAsia"/>
              <w:noProof/>
              <w:lang w:eastAsia="el-GR"/>
            </w:rPr>
          </w:pPr>
          <w:hyperlink w:anchor="_Toc493323959" w:history="1">
            <w:r w:rsidR="001F2C5F" w:rsidRPr="00AE3D69">
              <w:rPr>
                <w:rStyle w:val="-"/>
                <w:noProof/>
              </w:rPr>
              <w:t>1.1.4  Νευροανατομία δομών κατάποσης</w:t>
            </w:r>
            <w:r w:rsidR="001F2C5F">
              <w:rPr>
                <w:noProof/>
                <w:webHidden/>
              </w:rPr>
              <w:tab/>
            </w:r>
            <w:r w:rsidR="001F2C5F">
              <w:rPr>
                <w:noProof/>
                <w:webHidden/>
              </w:rPr>
              <w:fldChar w:fldCharType="begin"/>
            </w:r>
            <w:r w:rsidR="001F2C5F">
              <w:rPr>
                <w:noProof/>
                <w:webHidden/>
              </w:rPr>
              <w:instrText xml:space="preserve"> PAGEREF _Toc493323959 \h </w:instrText>
            </w:r>
            <w:r w:rsidR="001F2C5F">
              <w:rPr>
                <w:noProof/>
                <w:webHidden/>
              </w:rPr>
            </w:r>
            <w:r w:rsidR="001F2C5F">
              <w:rPr>
                <w:noProof/>
                <w:webHidden/>
              </w:rPr>
              <w:fldChar w:fldCharType="separate"/>
            </w:r>
            <w:r w:rsidR="001136D4">
              <w:rPr>
                <w:noProof/>
                <w:webHidden/>
              </w:rPr>
              <w:t>7</w:t>
            </w:r>
            <w:r w:rsidR="001F2C5F">
              <w:rPr>
                <w:noProof/>
                <w:webHidden/>
              </w:rPr>
              <w:fldChar w:fldCharType="end"/>
            </w:r>
          </w:hyperlink>
        </w:p>
        <w:p w14:paraId="090A6DD1" w14:textId="09CD9E8F" w:rsidR="001F2C5F" w:rsidRDefault="00EA16F3">
          <w:pPr>
            <w:pStyle w:val="20"/>
            <w:tabs>
              <w:tab w:val="right" w:leader="dot" w:pos="8659"/>
            </w:tabs>
            <w:rPr>
              <w:rFonts w:eastAsiaTheme="minorEastAsia"/>
              <w:noProof/>
              <w:lang w:eastAsia="el-GR"/>
            </w:rPr>
          </w:pPr>
          <w:hyperlink w:anchor="_Toc493323960" w:history="1">
            <w:r w:rsidR="001F2C5F" w:rsidRPr="00AE3D69">
              <w:rPr>
                <w:rStyle w:val="-"/>
                <w:noProof/>
              </w:rPr>
              <w:t>1.2 Ορισμοί Δυσφαγίας</w:t>
            </w:r>
            <w:r w:rsidR="001F2C5F">
              <w:rPr>
                <w:noProof/>
                <w:webHidden/>
              </w:rPr>
              <w:tab/>
            </w:r>
            <w:r w:rsidR="001F2C5F">
              <w:rPr>
                <w:noProof/>
                <w:webHidden/>
              </w:rPr>
              <w:fldChar w:fldCharType="begin"/>
            </w:r>
            <w:r w:rsidR="001F2C5F">
              <w:rPr>
                <w:noProof/>
                <w:webHidden/>
              </w:rPr>
              <w:instrText xml:space="preserve"> PAGEREF _Toc493323960 \h </w:instrText>
            </w:r>
            <w:r w:rsidR="001F2C5F">
              <w:rPr>
                <w:noProof/>
                <w:webHidden/>
              </w:rPr>
            </w:r>
            <w:r w:rsidR="001F2C5F">
              <w:rPr>
                <w:noProof/>
                <w:webHidden/>
              </w:rPr>
              <w:fldChar w:fldCharType="separate"/>
            </w:r>
            <w:r w:rsidR="001136D4">
              <w:rPr>
                <w:noProof/>
                <w:webHidden/>
              </w:rPr>
              <w:t>8</w:t>
            </w:r>
            <w:r w:rsidR="001F2C5F">
              <w:rPr>
                <w:noProof/>
                <w:webHidden/>
              </w:rPr>
              <w:fldChar w:fldCharType="end"/>
            </w:r>
          </w:hyperlink>
        </w:p>
        <w:p w14:paraId="702390E9" w14:textId="1006125C" w:rsidR="001F2C5F" w:rsidRDefault="00EA16F3">
          <w:pPr>
            <w:pStyle w:val="20"/>
            <w:tabs>
              <w:tab w:val="right" w:leader="dot" w:pos="8659"/>
            </w:tabs>
            <w:rPr>
              <w:rFonts w:eastAsiaTheme="minorEastAsia"/>
              <w:noProof/>
              <w:lang w:eastAsia="el-GR"/>
            </w:rPr>
          </w:pPr>
          <w:hyperlink w:anchor="_Toc493323961" w:history="1">
            <w:r w:rsidR="001F2C5F" w:rsidRPr="00AE3D69">
              <w:rPr>
                <w:rStyle w:val="-"/>
                <w:noProof/>
              </w:rPr>
              <w:t>1.2.1 Χρήσιμοι Ορισμοί</w:t>
            </w:r>
            <w:r w:rsidR="001F2C5F">
              <w:rPr>
                <w:noProof/>
                <w:webHidden/>
              </w:rPr>
              <w:tab/>
            </w:r>
            <w:r w:rsidR="001F2C5F">
              <w:rPr>
                <w:noProof/>
                <w:webHidden/>
              </w:rPr>
              <w:fldChar w:fldCharType="begin"/>
            </w:r>
            <w:r w:rsidR="001F2C5F">
              <w:rPr>
                <w:noProof/>
                <w:webHidden/>
              </w:rPr>
              <w:instrText xml:space="preserve"> PAGEREF _Toc493323961 \h </w:instrText>
            </w:r>
            <w:r w:rsidR="001F2C5F">
              <w:rPr>
                <w:noProof/>
                <w:webHidden/>
              </w:rPr>
            </w:r>
            <w:r w:rsidR="001F2C5F">
              <w:rPr>
                <w:noProof/>
                <w:webHidden/>
              </w:rPr>
              <w:fldChar w:fldCharType="separate"/>
            </w:r>
            <w:r w:rsidR="001136D4">
              <w:rPr>
                <w:noProof/>
                <w:webHidden/>
              </w:rPr>
              <w:t>9</w:t>
            </w:r>
            <w:r w:rsidR="001F2C5F">
              <w:rPr>
                <w:noProof/>
                <w:webHidden/>
              </w:rPr>
              <w:fldChar w:fldCharType="end"/>
            </w:r>
          </w:hyperlink>
        </w:p>
        <w:p w14:paraId="1F7B3E5F" w14:textId="1457CFF2" w:rsidR="001F2C5F" w:rsidRDefault="00EA16F3">
          <w:pPr>
            <w:pStyle w:val="20"/>
            <w:tabs>
              <w:tab w:val="right" w:leader="dot" w:pos="8659"/>
            </w:tabs>
            <w:rPr>
              <w:rFonts w:eastAsiaTheme="minorEastAsia"/>
              <w:noProof/>
              <w:lang w:eastAsia="el-GR"/>
            </w:rPr>
          </w:pPr>
          <w:hyperlink w:anchor="_Toc493323962" w:history="1">
            <w:r w:rsidR="001F2C5F" w:rsidRPr="00AE3D69">
              <w:rPr>
                <w:rStyle w:val="-"/>
                <w:noProof/>
              </w:rPr>
              <w:t>1.2.2 Στάδια κατάποσης</w:t>
            </w:r>
            <w:r w:rsidR="001F2C5F">
              <w:rPr>
                <w:noProof/>
                <w:webHidden/>
              </w:rPr>
              <w:tab/>
            </w:r>
            <w:r w:rsidR="001F2C5F">
              <w:rPr>
                <w:noProof/>
                <w:webHidden/>
              </w:rPr>
              <w:fldChar w:fldCharType="begin"/>
            </w:r>
            <w:r w:rsidR="001F2C5F">
              <w:rPr>
                <w:noProof/>
                <w:webHidden/>
              </w:rPr>
              <w:instrText xml:space="preserve"> PAGEREF _Toc493323962 \h </w:instrText>
            </w:r>
            <w:r w:rsidR="001F2C5F">
              <w:rPr>
                <w:noProof/>
                <w:webHidden/>
              </w:rPr>
            </w:r>
            <w:r w:rsidR="001F2C5F">
              <w:rPr>
                <w:noProof/>
                <w:webHidden/>
              </w:rPr>
              <w:fldChar w:fldCharType="separate"/>
            </w:r>
            <w:r w:rsidR="001136D4">
              <w:rPr>
                <w:noProof/>
                <w:webHidden/>
              </w:rPr>
              <w:t>9</w:t>
            </w:r>
            <w:r w:rsidR="001F2C5F">
              <w:rPr>
                <w:noProof/>
                <w:webHidden/>
              </w:rPr>
              <w:fldChar w:fldCharType="end"/>
            </w:r>
          </w:hyperlink>
        </w:p>
        <w:p w14:paraId="56148293" w14:textId="73C588C4" w:rsidR="001F2C5F" w:rsidRDefault="00EA16F3">
          <w:pPr>
            <w:pStyle w:val="20"/>
            <w:tabs>
              <w:tab w:val="right" w:leader="dot" w:pos="8659"/>
            </w:tabs>
            <w:rPr>
              <w:rFonts w:eastAsiaTheme="minorEastAsia"/>
              <w:noProof/>
              <w:lang w:eastAsia="el-GR"/>
            </w:rPr>
          </w:pPr>
          <w:hyperlink w:anchor="_Toc493323963" w:history="1">
            <w:r w:rsidR="001F2C5F" w:rsidRPr="00AE3D69">
              <w:rPr>
                <w:rStyle w:val="-"/>
                <w:noProof/>
              </w:rPr>
              <w:t>1.3 Αιτιολογία Δυσφαγίας</w:t>
            </w:r>
            <w:r w:rsidR="001F2C5F">
              <w:rPr>
                <w:noProof/>
                <w:webHidden/>
              </w:rPr>
              <w:tab/>
            </w:r>
            <w:r w:rsidR="001F2C5F">
              <w:rPr>
                <w:noProof/>
                <w:webHidden/>
              </w:rPr>
              <w:fldChar w:fldCharType="begin"/>
            </w:r>
            <w:r w:rsidR="001F2C5F">
              <w:rPr>
                <w:noProof/>
                <w:webHidden/>
              </w:rPr>
              <w:instrText xml:space="preserve"> PAGEREF _Toc493323963 \h </w:instrText>
            </w:r>
            <w:r w:rsidR="001F2C5F">
              <w:rPr>
                <w:noProof/>
                <w:webHidden/>
              </w:rPr>
            </w:r>
            <w:r w:rsidR="001F2C5F">
              <w:rPr>
                <w:noProof/>
                <w:webHidden/>
              </w:rPr>
              <w:fldChar w:fldCharType="separate"/>
            </w:r>
            <w:r w:rsidR="001136D4">
              <w:rPr>
                <w:noProof/>
                <w:webHidden/>
              </w:rPr>
              <w:t>13</w:t>
            </w:r>
            <w:r w:rsidR="001F2C5F">
              <w:rPr>
                <w:noProof/>
                <w:webHidden/>
              </w:rPr>
              <w:fldChar w:fldCharType="end"/>
            </w:r>
          </w:hyperlink>
        </w:p>
        <w:p w14:paraId="6BE226DA" w14:textId="67E245A3" w:rsidR="001F2C5F" w:rsidRDefault="00EA16F3">
          <w:pPr>
            <w:pStyle w:val="20"/>
            <w:tabs>
              <w:tab w:val="right" w:leader="dot" w:pos="8659"/>
            </w:tabs>
            <w:rPr>
              <w:rFonts w:eastAsiaTheme="minorEastAsia"/>
              <w:noProof/>
              <w:lang w:eastAsia="el-GR"/>
            </w:rPr>
          </w:pPr>
          <w:hyperlink w:anchor="_Toc493323964" w:history="1">
            <w:r w:rsidR="001F2C5F" w:rsidRPr="00AE3D69">
              <w:rPr>
                <w:rStyle w:val="-"/>
                <w:noProof/>
              </w:rPr>
              <w:t>1.3.1 Νευρολογικά αίτια δυσφαγίας</w:t>
            </w:r>
            <w:r w:rsidR="001F2C5F">
              <w:rPr>
                <w:noProof/>
                <w:webHidden/>
              </w:rPr>
              <w:tab/>
            </w:r>
            <w:r w:rsidR="001F2C5F">
              <w:rPr>
                <w:noProof/>
                <w:webHidden/>
              </w:rPr>
              <w:fldChar w:fldCharType="begin"/>
            </w:r>
            <w:r w:rsidR="001F2C5F">
              <w:rPr>
                <w:noProof/>
                <w:webHidden/>
              </w:rPr>
              <w:instrText xml:space="preserve"> PAGEREF _Toc493323964 \h </w:instrText>
            </w:r>
            <w:r w:rsidR="001F2C5F">
              <w:rPr>
                <w:noProof/>
                <w:webHidden/>
              </w:rPr>
            </w:r>
            <w:r w:rsidR="001F2C5F">
              <w:rPr>
                <w:noProof/>
                <w:webHidden/>
              </w:rPr>
              <w:fldChar w:fldCharType="separate"/>
            </w:r>
            <w:r w:rsidR="001136D4">
              <w:rPr>
                <w:noProof/>
                <w:webHidden/>
              </w:rPr>
              <w:t>13</w:t>
            </w:r>
            <w:r w:rsidR="001F2C5F">
              <w:rPr>
                <w:noProof/>
                <w:webHidden/>
              </w:rPr>
              <w:fldChar w:fldCharType="end"/>
            </w:r>
          </w:hyperlink>
        </w:p>
        <w:p w14:paraId="5DF97726" w14:textId="5974C4B9" w:rsidR="001F2C5F" w:rsidRDefault="00EA16F3">
          <w:pPr>
            <w:pStyle w:val="20"/>
            <w:tabs>
              <w:tab w:val="right" w:leader="dot" w:pos="8659"/>
            </w:tabs>
            <w:rPr>
              <w:rFonts w:eastAsiaTheme="minorEastAsia"/>
              <w:noProof/>
              <w:lang w:eastAsia="el-GR"/>
            </w:rPr>
          </w:pPr>
          <w:hyperlink w:anchor="_Toc493323965" w:history="1">
            <w:r w:rsidR="001F2C5F" w:rsidRPr="00AE3D69">
              <w:rPr>
                <w:rStyle w:val="-"/>
                <w:noProof/>
              </w:rPr>
              <w:t>1.3.2 Δομικά/Μηχανικά αίτια δυσφαγίας</w:t>
            </w:r>
            <w:r w:rsidR="001F2C5F">
              <w:rPr>
                <w:noProof/>
                <w:webHidden/>
              </w:rPr>
              <w:tab/>
            </w:r>
            <w:r w:rsidR="001F2C5F">
              <w:rPr>
                <w:noProof/>
                <w:webHidden/>
              </w:rPr>
              <w:fldChar w:fldCharType="begin"/>
            </w:r>
            <w:r w:rsidR="001F2C5F">
              <w:rPr>
                <w:noProof/>
                <w:webHidden/>
              </w:rPr>
              <w:instrText xml:space="preserve"> PAGEREF _Toc493323965 \h </w:instrText>
            </w:r>
            <w:r w:rsidR="001F2C5F">
              <w:rPr>
                <w:noProof/>
                <w:webHidden/>
              </w:rPr>
            </w:r>
            <w:r w:rsidR="001F2C5F">
              <w:rPr>
                <w:noProof/>
                <w:webHidden/>
              </w:rPr>
              <w:fldChar w:fldCharType="separate"/>
            </w:r>
            <w:r w:rsidR="001136D4">
              <w:rPr>
                <w:noProof/>
                <w:webHidden/>
              </w:rPr>
              <w:t>18</w:t>
            </w:r>
            <w:r w:rsidR="001F2C5F">
              <w:rPr>
                <w:noProof/>
                <w:webHidden/>
              </w:rPr>
              <w:fldChar w:fldCharType="end"/>
            </w:r>
          </w:hyperlink>
        </w:p>
        <w:p w14:paraId="465CD3AE" w14:textId="46A3556C" w:rsidR="001F2C5F" w:rsidRDefault="00EA16F3">
          <w:pPr>
            <w:pStyle w:val="20"/>
            <w:tabs>
              <w:tab w:val="right" w:leader="dot" w:pos="8659"/>
            </w:tabs>
            <w:rPr>
              <w:rFonts w:eastAsiaTheme="minorEastAsia"/>
              <w:noProof/>
              <w:lang w:eastAsia="el-GR"/>
            </w:rPr>
          </w:pPr>
          <w:hyperlink w:anchor="_Toc493323966" w:history="1">
            <w:r w:rsidR="001F2C5F" w:rsidRPr="00AE3D69">
              <w:rPr>
                <w:rStyle w:val="-"/>
                <w:noProof/>
              </w:rPr>
              <w:t>1.3.3 Οισοφαγικά αίτια δυσφαγίας</w:t>
            </w:r>
            <w:r w:rsidR="001F2C5F">
              <w:rPr>
                <w:noProof/>
                <w:webHidden/>
              </w:rPr>
              <w:tab/>
            </w:r>
            <w:r w:rsidR="001F2C5F">
              <w:rPr>
                <w:noProof/>
                <w:webHidden/>
              </w:rPr>
              <w:fldChar w:fldCharType="begin"/>
            </w:r>
            <w:r w:rsidR="001F2C5F">
              <w:rPr>
                <w:noProof/>
                <w:webHidden/>
              </w:rPr>
              <w:instrText xml:space="preserve"> PAGEREF _Toc493323966 \h </w:instrText>
            </w:r>
            <w:r w:rsidR="001F2C5F">
              <w:rPr>
                <w:noProof/>
                <w:webHidden/>
              </w:rPr>
            </w:r>
            <w:r w:rsidR="001F2C5F">
              <w:rPr>
                <w:noProof/>
                <w:webHidden/>
              </w:rPr>
              <w:fldChar w:fldCharType="separate"/>
            </w:r>
            <w:r w:rsidR="001136D4">
              <w:rPr>
                <w:noProof/>
                <w:webHidden/>
              </w:rPr>
              <w:t>22</w:t>
            </w:r>
            <w:r w:rsidR="001F2C5F">
              <w:rPr>
                <w:noProof/>
                <w:webHidden/>
              </w:rPr>
              <w:fldChar w:fldCharType="end"/>
            </w:r>
          </w:hyperlink>
        </w:p>
        <w:p w14:paraId="7231A31C" w14:textId="7B5E23CD" w:rsidR="001F2C5F" w:rsidRDefault="00EA16F3">
          <w:pPr>
            <w:pStyle w:val="20"/>
            <w:tabs>
              <w:tab w:val="right" w:leader="dot" w:pos="8659"/>
            </w:tabs>
            <w:rPr>
              <w:rFonts w:eastAsiaTheme="minorEastAsia"/>
              <w:noProof/>
              <w:lang w:eastAsia="el-GR"/>
            </w:rPr>
          </w:pPr>
          <w:hyperlink w:anchor="_Toc493323967" w:history="1">
            <w:r w:rsidR="001F2C5F" w:rsidRPr="00AE3D69">
              <w:rPr>
                <w:rStyle w:val="-"/>
                <w:noProof/>
              </w:rPr>
              <w:t>1.3.4 Ψυχογενή αίτια δυσφαγίας</w:t>
            </w:r>
            <w:r w:rsidR="001F2C5F">
              <w:rPr>
                <w:noProof/>
                <w:webHidden/>
              </w:rPr>
              <w:tab/>
            </w:r>
            <w:r w:rsidR="001F2C5F">
              <w:rPr>
                <w:noProof/>
                <w:webHidden/>
              </w:rPr>
              <w:fldChar w:fldCharType="begin"/>
            </w:r>
            <w:r w:rsidR="001F2C5F">
              <w:rPr>
                <w:noProof/>
                <w:webHidden/>
              </w:rPr>
              <w:instrText xml:space="preserve"> PAGEREF _Toc493323967 \h </w:instrText>
            </w:r>
            <w:r w:rsidR="001F2C5F">
              <w:rPr>
                <w:noProof/>
                <w:webHidden/>
              </w:rPr>
            </w:r>
            <w:r w:rsidR="001F2C5F">
              <w:rPr>
                <w:noProof/>
                <w:webHidden/>
              </w:rPr>
              <w:fldChar w:fldCharType="separate"/>
            </w:r>
            <w:r w:rsidR="001136D4">
              <w:rPr>
                <w:noProof/>
                <w:webHidden/>
              </w:rPr>
              <w:t>23</w:t>
            </w:r>
            <w:r w:rsidR="001F2C5F">
              <w:rPr>
                <w:noProof/>
                <w:webHidden/>
              </w:rPr>
              <w:fldChar w:fldCharType="end"/>
            </w:r>
          </w:hyperlink>
        </w:p>
        <w:p w14:paraId="754B4E66" w14:textId="22BC7F2A" w:rsidR="001F2C5F" w:rsidRDefault="00EA16F3">
          <w:pPr>
            <w:pStyle w:val="20"/>
            <w:tabs>
              <w:tab w:val="right" w:leader="dot" w:pos="8659"/>
            </w:tabs>
            <w:rPr>
              <w:rFonts w:eastAsiaTheme="minorEastAsia"/>
              <w:noProof/>
              <w:lang w:eastAsia="el-GR"/>
            </w:rPr>
          </w:pPr>
          <w:hyperlink w:anchor="_Toc493323968" w:history="1">
            <w:r w:rsidR="001F2C5F" w:rsidRPr="00AE3D69">
              <w:rPr>
                <w:rStyle w:val="-"/>
                <w:noProof/>
              </w:rPr>
              <w:t>1.4 Κλινική εικόνα</w:t>
            </w:r>
            <w:r w:rsidR="001F2C5F">
              <w:rPr>
                <w:noProof/>
                <w:webHidden/>
              </w:rPr>
              <w:tab/>
            </w:r>
            <w:r w:rsidR="001F2C5F">
              <w:rPr>
                <w:noProof/>
                <w:webHidden/>
              </w:rPr>
              <w:fldChar w:fldCharType="begin"/>
            </w:r>
            <w:r w:rsidR="001F2C5F">
              <w:rPr>
                <w:noProof/>
                <w:webHidden/>
              </w:rPr>
              <w:instrText xml:space="preserve"> PAGEREF _Toc493323968 \h </w:instrText>
            </w:r>
            <w:r w:rsidR="001F2C5F">
              <w:rPr>
                <w:noProof/>
                <w:webHidden/>
              </w:rPr>
            </w:r>
            <w:r w:rsidR="001F2C5F">
              <w:rPr>
                <w:noProof/>
                <w:webHidden/>
              </w:rPr>
              <w:fldChar w:fldCharType="separate"/>
            </w:r>
            <w:r w:rsidR="001136D4">
              <w:rPr>
                <w:noProof/>
                <w:webHidden/>
              </w:rPr>
              <w:t>24</w:t>
            </w:r>
            <w:r w:rsidR="001F2C5F">
              <w:rPr>
                <w:noProof/>
                <w:webHidden/>
              </w:rPr>
              <w:fldChar w:fldCharType="end"/>
            </w:r>
          </w:hyperlink>
        </w:p>
        <w:p w14:paraId="650B882D" w14:textId="2AC9407E" w:rsidR="001F2C5F" w:rsidRDefault="00EA16F3">
          <w:pPr>
            <w:pStyle w:val="20"/>
            <w:tabs>
              <w:tab w:val="right" w:leader="dot" w:pos="8659"/>
            </w:tabs>
            <w:rPr>
              <w:rFonts w:eastAsiaTheme="minorEastAsia"/>
              <w:noProof/>
              <w:lang w:eastAsia="el-GR"/>
            </w:rPr>
          </w:pPr>
          <w:hyperlink w:anchor="_Toc493323969" w:history="1">
            <w:r w:rsidR="001F2C5F" w:rsidRPr="00AE3D69">
              <w:rPr>
                <w:rStyle w:val="-"/>
                <w:noProof/>
              </w:rPr>
              <w:t>1.4.1 Κλινική εικόνα στοματικού σταδίου</w:t>
            </w:r>
            <w:r w:rsidR="001F2C5F">
              <w:rPr>
                <w:noProof/>
                <w:webHidden/>
              </w:rPr>
              <w:tab/>
            </w:r>
            <w:r w:rsidR="001F2C5F">
              <w:rPr>
                <w:noProof/>
                <w:webHidden/>
              </w:rPr>
              <w:fldChar w:fldCharType="begin"/>
            </w:r>
            <w:r w:rsidR="001F2C5F">
              <w:rPr>
                <w:noProof/>
                <w:webHidden/>
              </w:rPr>
              <w:instrText xml:space="preserve"> PAGEREF _Toc493323969 \h </w:instrText>
            </w:r>
            <w:r w:rsidR="001F2C5F">
              <w:rPr>
                <w:noProof/>
                <w:webHidden/>
              </w:rPr>
            </w:r>
            <w:r w:rsidR="001F2C5F">
              <w:rPr>
                <w:noProof/>
                <w:webHidden/>
              </w:rPr>
              <w:fldChar w:fldCharType="separate"/>
            </w:r>
            <w:r w:rsidR="001136D4">
              <w:rPr>
                <w:noProof/>
                <w:webHidden/>
              </w:rPr>
              <w:t>24</w:t>
            </w:r>
            <w:r w:rsidR="001F2C5F">
              <w:rPr>
                <w:noProof/>
                <w:webHidden/>
              </w:rPr>
              <w:fldChar w:fldCharType="end"/>
            </w:r>
          </w:hyperlink>
        </w:p>
        <w:p w14:paraId="0674208F" w14:textId="025CD7FC" w:rsidR="001F2C5F" w:rsidRDefault="00EA16F3">
          <w:pPr>
            <w:pStyle w:val="20"/>
            <w:tabs>
              <w:tab w:val="right" w:leader="dot" w:pos="8659"/>
            </w:tabs>
            <w:rPr>
              <w:rFonts w:eastAsiaTheme="minorEastAsia"/>
              <w:noProof/>
              <w:lang w:eastAsia="el-GR"/>
            </w:rPr>
          </w:pPr>
          <w:hyperlink w:anchor="_Toc493323970" w:history="1">
            <w:r w:rsidR="001F2C5F" w:rsidRPr="00AE3D69">
              <w:rPr>
                <w:rStyle w:val="-"/>
                <w:noProof/>
              </w:rPr>
              <w:t>1.4.2 Κλινική εικόνα φαρυγγικού σταδίου</w:t>
            </w:r>
            <w:r w:rsidR="001F2C5F">
              <w:rPr>
                <w:noProof/>
                <w:webHidden/>
              </w:rPr>
              <w:tab/>
            </w:r>
            <w:r w:rsidR="001F2C5F">
              <w:rPr>
                <w:noProof/>
                <w:webHidden/>
              </w:rPr>
              <w:fldChar w:fldCharType="begin"/>
            </w:r>
            <w:r w:rsidR="001F2C5F">
              <w:rPr>
                <w:noProof/>
                <w:webHidden/>
              </w:rPr>
              <w:instrText xml:space="preserve"> PAGEREF _Toc493323970 \h </w:instrText>
            </w:r>
            <w:r w:rsidR="001F2C5F">
              <w:rPr>
                <w:noProof/>
                <w:webHidden/>
              </w:rPr>
            </w:r>
            <w:r w:rsidR="001F2C5F">
              <w:rPr>
                <w:noProof/>
                <w:webHidden/>
              </w:rPr>
              <w:fldChar w:fldCharType="separate"/>
            </w:r>
            <w:r w:rsidR="001136D4">
              <w:rPr>
                <w:noProof/>
                <w:webHidden/>
              </w:rPr>
              <w:t>25</w:t>
            </w:r>
            <w:r w:rsidR="001F2C5F">
              <w:rPr>
                <w:noProof/>
                <w:webHidden/>
              </w:rPr>
              <w:fldChar w:fldCharType="end"/>
            </w:r>
          </w:hyperlink>
        </w:p>
        <w:p w14:paraId="3011CB3E" w14:textId="73CC4EC0" w:rsidR="001F2C5F" w:rsidRDefault="00EA16F3">
          <w:pPr>
            <w:pStyle w:val="20"/>
            <w:tabs>
              <w:tab w:val="right" w:leader="dot" w:pos="8659"/>
            </w:tabs>
            <w:rPr>
              <w:rFonts w:eastAsiaTheme="minorEastAsia"/>
              <w:noProof/>
              <w:lang w:eastAsia="el-GR"/>
            </w:rPr>
          </w:pPr>
          <w:hyperlink w:anchor="_Toc493323971" w:history="1">
            <w:r w:rsidR="001F2C5F" w:rsidRPr="00AE3D69">
              <w:rPr>
                <w:rStyle w:val="-"/>
                <w:noProof/>
              </w:rPr>
              <w:t>1.4.3 Κλινική εικόνα οισοφαγικού σταδίου</w:t>
            </w:r>
            <w:r w:rsidR="001F2C5F">
              <w:rPr>
                <w:noProof/>
                <w:webHidden/>
              </w:rPr>
              <w:tab/>
            </w:r>
            <w:r w:rsidR="001F2C5F">
              <w:rPr>
                <w:noProof/>
                <w:webHidden/>
              </w:rPr>
              <w:fldChar w:fldCharType="begin"/>
            </w:r>
            <w:r w:rsidR="001F2C5F">
              <w:rPr>
                <w:noProof/>
                <w:webHidden/>
              </w:rPr>
              <w:instrText xml:space="preserve"> PAGEREF _Toc493323971 \h </w:instrText>
            </w:r>
            <w:r w:rsidR="001F2C5F">
              <w:rPr>
                <w:noProof/>
                <w:webHidden/>
              </w:rPr>
            </w:r>
            <w:r w:rsidR="001F2C5F">
              <w:rPr>
                <w:noProof/>
                <w:webHidden/>
              </w:rPr>
              <w:fldChar w:fldCharType="separate"/>
            </w:r>
            <w:r w:rsidR="001136D4">
              <w:rPr>
                <w:noProof/>
                <w:webHidden/>
              </w:rPr>
              <w:t>27</w:t>
            </w:r>
            <w:r w:rsidR="001F2C5F">
              <w:rPr>
                <w:noProof/>
                <w:webHidden/>
              </w:rPr>
              <w:fldChar w:fldCharType="end"/>
            </w:r>
          </w:hyperlink>
        </w:p>
        <w:p w14:paraId="35AED354" w14:textId="5793B84D" w:rsidR="001F2C5F" w:rsidRDefault="00EA16F3">
          <w:pPr>
            <w:pStyle w:val="20"/>
            <w:tabs>
              <w:tab w:val="right" w:leader="dot" w:pos="8659"/>
            </w:tabs>
            <w:rPr>
              <w:rFonts w:eastAsiaTheme="minorEastAsia"/>
              <w:noProof/>
              <w:lang w:eastAsia="el-GR"/>
            </w:rPr>
          </w:pPr>
          <w:hyperlink w:anchor="_Toc493323972" w:history="1">
            <w:r w:rsidR="001F2C5F" w:rsidRPr="00AE3D69">
              <w:rPr>
                <w:rStyle w:val="-"/>
                <w:noProof/>
              </w:rPr>
              <w:t>1.5 Αξιολόγηση της Κατάποσης</w:t>
            </w:r>
            <w:r w:rsidR="001F2C5F">
              <w:rPr>
                <w:noProof/>
                <w:webHidden/>
              </w:rPr>
              <w:tab/>
            </w:r>
            <w:r w:rsidR="001F2C5F">
              <w:rPr>
                <w:noProof/>
                <w:webHidden/>
              </w:rPr>
              <w:fldChar w:fldCharType="begin"/>
            </w:r>
            <w:r w:rsidR="001F2C5F">
              <w:rPr>
                <w:noProof/>
                <w:webHidden/>
              </w:rPr>
              <w:instrText xml:space="preserve"> PAGEREF _Toc493323972 \h </w:instrText>
            </w:r>
            <w:r w:rsidR="001F2C5F">
              <w:rPr>
                <w:noProof/>
                <w:webHidden/>
              </w:rPr>
            </w:r>
            <w:r w:rsidR="001F2C5F">
              <w:rPr>
                <w:noProof/>
                <w:webHidden/>
              </w:rPr>
              <w:fldChar w:fldCharType="separate"/>
            </w:r>
            <w:r w:rsidR="001136D4">
              <w:rPr>
                <w:noProof/>
                <w:webHidden/>
              </w:rPr>
              <w:t>28</w:t>
            </w:r>
            <w:r w:rsidR="001F2C5F">
              <w:rPr>
                <w:noProof/>
                <w:webHidden/>
              </w:rPr>
              <w:fldChar w:fldCharType="end"/>
            </w:r>
          </w:hyperlink>
        </w:p>
        <w:p w14:paraId="0EEE1423" w14:textId="1E85B73D" w:rsidR="001F2C5F" w:rsidRDefault="00EA16F3">
          <w:pPr>
            <w:pStyle w:val="20"/>
            <w:tabs>
              <w:tab w:val="right" w:leader="dot" w:pos="8659"/>
            </w:tabs>
            <w:rPr>
              <w:rFonts w:eastAsiaTheme="minorEastAsia"/>
              <w:noProof/>
              <w:lang w:eastAsia="el-GR"/>
            </w:rPr>
          </w:pPr>
          <w:hyperlink w:anchor="_Toc493323973" w:history="1">
            <w:r w:rsidR="001F2C5F" w:rsidRPr="00AE3D69">
              <w:rPr>
                <w:rStyle w:val="-"/>
                <w:noProof/>
              </w:rPr>
              <w:t>1.5.1 Ιστορικό ασθενούς</w:t>
            </w:r>
            <w:r w:rsidR="001F2C5F">
              <w:rPr>
                <w:noProof/>
                <w:webHidden/>
              </w:rPr>
              <w:tab/>
            </w:r>
            <w:r w:rsidR="001F2C5F">
              <w:rPr>
                <w:noProof/>
                <w:webHidden/>
              </w:rPr>
              <w:fldChar w:fldCharType="begin"/>
            </w:r>
            <w:r w:rsidR="001F2C5F">
              <w:rPr>
                <w:noProof/>
                <w:webHidden/>
              </w:rPr>
              <w:instrText xml:space="preserve"> PAGEREF _Toc493323973 \h </w:instrText>
            </w:r>
            <w:r w:rsidR="001F2C5F">
              <w:rPr>
                <w:noProof/>
                <w:webHidden/>
              </w:rPr>
            </w:r>
            <w:r w:rsidR="001F2C5F">
              <w:rPr>
                <w:noProof/>
                <w:webHidden/>
              </w:rPr>
              <w:fldChar w:fldCharType="separate"/>
            </w:r>
            <w:r w:rsidR="001136D4">
              <w:rPr>
                <w:noProof/>
                <w:webHidden/>
              </w:rPr>
              <w:t>28</w:t>
            </w:r>
            <w:r w:rsidR="001F2C5F">
              <w:rPr>
                <w:noProof/>
                <w:webHidden/>
              </w:rPr>
              <w:fldChar w:fldCharType="end"/>
            </w:r>
          </w:hyperlink>
        </w:p>
        <w:p w14:paraId="5E87354A" w14:textId="6AE3DD0D" w:rsidR="001F2C5F" w:rsidRDefault="00EA16F3">
          <w:pPr>
            <w:pStyle w:val="20"/>
            <w:tabs>
              <w:tab w:val="right" w:leader="dot" w:pos="8659"/>
            </w:tabs>
            <w:rPr>
              <w:rFonts w:eastAsiaTheme="minorEastAsia"/>
              <w:noProof/>
              <w:lang w:eastAsia="el-GR"/>
            </w:rPr>
          </w:pPr>
          <w:hyperlink w:anchor="_Toc493323974" w:history="1">
            <w:r w:rsidR="001F2C5F" w:rsidRPr="00AE3D69">
              <w:rPr>
                <w:rStyle w:val="-"/>
                <w:noProof/>
              </w:rPr>
              <w:t>1.5.2 Ιατρικές μέθοδοι αξιολόγησης της κατάποσης</w:t>
            </w:r>
            <w:r w:rsidR="001F2C5F">
              <w:rPr>
                <w:noProof/>
                <w:webHidden/>
              </w:rPr>
              <w:tab/>
            </w:r>
            <w:r w:rsidR="001F2C5F">
              <w:rPr>
                <w:noProof/>
                <w:webHidden/>
              </w:rPr>
              <w:fldChar w:fldCharType="begin"/>
            </w:r>
            <w:r w:rsidR="001F2C5F">
              <w:rPr>
                <w:noProof/>
                <w:webHidden/>
              </w:rPr>
              <w:instrText xml:space="preserve"> PAGEREF _Toc493323974 \h </w:instrText>
            </w:r>
            <w:r w:rsidR="001F2C5F">
              <w:rPr>
                <w:noProof/>
                <w:webHidden/>
              </w:rPr>
            </w:r>
            <w:r w:rsidR="001F2C5F">
              <w:rPr>
                <w:noProof/>
                <w:webHidden/>
              </w:rPr>
              <w:fldChar w:fldCharType="separate"/>
            </w:r>
            <w:r w:rsidR="001136D4">
              <w:rPr>
                <w:noProof/>
                <w:webHidden/>
              </w:rPr>
              <w:t>29</w:t>
            </w:r>
            <w:r w:rsidR="001F2C5F">
              <w:rPr>
                <w:noProof/>
                <w:webHidden/>
              </w:rPr>
              <w:fldChar w:fldCharType="end"/>
            </w:r>
          </w:hyperlink>
        </w:p>
        <w:p w14:paraId="04144907" w14:textId="6798DB99" w:rsidR="001F2C5F" w:rsidRDefault="00EA16F3">
          <w:pPr>
            <w:pStyle w:val="20"/>
            <w:tabs>
              <w:tab w:val="right" w:leader="dot" w:pos="8659"/>
            </w:tabs>
            <w:rPr>
              <w:rFonts w:eastAsiaTheme="minorEastAsia"/>
              <w:noProof/>
              <w:lang w:eastAsia="el-GR"/>
            </w:rPr>
          </w:pPr>
          <w:hyperlink w:anchor="_Toc493323975" w:history="1">
            <w:r w:rsidR="001F2C5F" w:rsidRPr="00AE3D69">
              <w:rPr>
                <w:rStyle w:val="-"/>
                <w:noProof/>
              </w:rPr>
              <w:t>1.5.2.1 Απεικονιστικές μέθοδοι</w:t>
            </w:r>
            <w:r w:rsidR="001F2C5F">
              <w:rPr>
                <w:noProof/>
                <w:webHidden/>
              </w:rPr>
              <w:tab/>
            </w:r>
            <w:r w:rsidR="001F2C5F">
              <w:rPr>
                <w:noProof/>
                <w:webHidden/>
              </w:rPr>
              <w:fldChar w:fldCharType="begin"/>
            </w:r>
            <w:r w:rsidR="001F2C5F">
              <w:rPr>
                <w:noProof/>
                <w:webHidden/>
              </w:rPr>
              <w:instrText xml:space="preserve"> PAGEREF _Toc493323975 \h </w:instrText>
            </w:r>
            <w:r w:rsidR="001F2C5F">
              <w:rPr>
                <w:noProof/>
                <w:webHidden/>
              </w:rPr>
            </w:r>
            <w:r w:rsidR="001F2C5F">
              <w:rPr>
                <w:noProof/>
                <w:webHidden/>
              </w:rPr>
              <w:fldChar w:fldCharType="separate"/>
            </w:r>
            <w:r w:rsidR="001136D4">
              <w:rPr>
                <w:noProof/>
                <w:webHidden/>
              </w:rPr>
              <w:t>29</w:t>
            </w:r>
            <w:r w:rsidR="001F2C5F">
              <w:rPr>
                <w:noProof/>
                <w:webHidden/>
              </w:rPr>
              <w:fldChar w:fldCharType="end"/>
            </w:r>
          </w:hyperlink>
        </w:p>
        <w:p w14:paraId="19424FA9" w14:textId="5E3AAAB5" w:rsidR="001F2C5F" w:rsidRDefault="00EA16F3">
          <w:pPr>
            <w:pStyle w:val="20"/>
            <w:tabs>
              <w:tab w:val="right" w:leader="dot" w:pos="8659"/>
            </w:tabs>
            <w:rPr>
              <w:rFonts w:eastAsiaTheme="minorEastAsia"/>
              <w:noProof/>
              <w:lang w:eastAsia="el-GR"/>
            </w:rPr>
          </w:pPr>
          <w:hyperlink w:anchor="_Toc493323976" w:history="1">
            <w:r w:rsidR="001F2C5F" w:rsidRPr="00AE3D69">
              <w:rPr>
                <w:rStyle w:val="-"/>
                <w:noProof/>
              </w:rPr>
              <w:t>1.5.2.2 Μη Απεικονιστικές μέθοδοι</w:t>
            </w:r>
            <w:r w:rsidR="001F2C5F">
              <w:rPr>
                <w:noProof/>
                <w:webHidden/>
              </w:rPr>
              <w:tab/>
            </w:r>
            <w:r w:rsidR="001F2C5F">
              <w:rPr>
                <w:noProof/>
                <w:webHidden/>
              </w:rPr>
              <w:fldChar w:fldCharType="begin"/>
            </w:r>
            <w:r w:rsidR="001F2C5F">
              <w:rPr>
                <w:noProof/>
                <w:webHidden/>
              </w:rPr>
              <w:instrText xml:space="preserve"> PAGEREF _Toc493323976 \h </w:instrText>
            </w:r>
            <w:r w:rsidR="001F2C5F">
              <w:rPr>
                <w:noProof/>
                <w:webHidden/>
              </w:rPr>
            </w:r>
            <w:r w:rsidR="001F2C5F">
              <w:rPr>
                <w:noProof/>
                <w:webHidden/>
              </w:rPr>
              <w:fldChar w:fldCharType="separate"/>
            </w:r>
            <w:r w:rsidR="001136D4">
              <w:rPr>
                <w:noProof/>
                <w:webHidden/>
              </w:rPr>
              <w:t>32</w:t>
            </w:r>
            <w:r w:rsidR="001F2C5F">
              <w:rPr>
                <w:noProof/>
                <w:webHidden/>
              </w:rPr>
              <w:fldChar w:fldCharType="end"/>
            </w:r>
          </w:hyperlink>
        </w:p>
        <w:p w14:paraId="1FF6D020" w14:textId="2EFF2C38" w:rsidR="001F2C5F" w:rsidRDefault="00EA16F3">
          <w:pPr>
            <w:pStyle w:val="20"/>
            <w:tabs>
              <w:tab w:val="right" w:leader="dot" w:pos="8659"/>
            </w:tabs>
            <w:rPr>
              <w:rFonts w:eastAsiaTheme="minorEastAsia"/>
              <w:noProof/>
              <w:lang w:eastAsia="el-GR"/>
            </w:rPr>
          </w:pPr>
          <w:hyperlink w:anchor="_Toc493323977" w:history="1">
            <w:r w:rsidR="001F2C5F" w:rsidRPr="00AE3D69">
              <w:rPr>
                <w:rStyle w:val="-"/>
                <w:noProof/>
              </w:rPr>
              <w:t>1.5.3 Λογοθεραπευτική αξιολόγηση κατάποσης</w:t>
            </w:r>
            <w:r w:rsidR="001F2C5F">
              <w:rPr>
                <w:noProof/>
                <w:webHidden/>
              </w:rPr>
              <w:tab/>
            </w:r>
            <w:r w:rsidR="001F2C5F">
              <w:rPr>
                <w:noProof/>
                <w:webHidden/>
              </w:rPr>
              <w:fldChar w:fldCharType="begin"/>
            </w:r>
            <w:r w:rsidR="001F2C5F">
              <w:rPr>
                <w:noProof/>
                <w:webHidden/>
              </w:rPr>
              <w:instrText xml:space="preserve"> PAGEREF _Toc493323977 \h </w:instrText>
            </w:r>
            <w:r w:rsidR="001F2C5F">
              <w:rPr>
                <w:noProof/>
                <w:webHidden/>
              </w:rPr>
            </w:r>
            <w:r w:rsidR="001F2C5F">
              <w:rPr>
                <w:noProof/>
                <w:webHidden/>
              </w:rPr>
              <w:fldChar w:fldCharType="separate"/>
            </w:r>
            <w:r w:rsidR="001136D4">
              <w:rPr>
                <w:noProof/>
                <w:webHidden/>
              </w:rPr>
              <w:t>33</w:t>
            </w:r>
            <w:r w:rsidR="001F2C5F">
              <w:rPr>
                <w:noProof/>
                <w:webHidden/>
              </w:rPr>
              <w:fldChar w:fldCharType="end"/>
            </w:r>
          </w:hyperlink>
        </w:p>
        <w:p w14:paraId="5A9B2B46" w14:textId="57A042A3" w:rsidR="001F2C5F" w:rsidRDefault="00EA16F3">
          <w:pPr>
            <w:pStyle w:val="20"/>
            <w:tabs>
              <w:tab w:val="right" w:leader="dot" w:pos="8659"/>
            </w:tabs>
            <w:rPr>
              <w:rFonts w:eastAsiaTheme="minorEastAsia"/>
              <w:noProof/>
              <w:lang w:eastAsia="el-GR"/>
            </w:rPr>
          </w:pPr>
          <w:hyperlink w:anchor="_Toc493323978" w:history="1">
            <w:r w:rsidR="001F2C5F" w:rsidRPr="00AE3D69">
              <w:rPr>
                <w:rStyle w:val="-"/>
                <w:noProof/>
              </w:rPr>
              <w:t>1.5.3.1 Ειδική αξιολόγηση στοματικών αντανακλαστικών</w:t>
            </w:r>
            <w:r w:rsidR="001F2C5F">
              <w:rPr>
                <w:noProof/>
                <w:webHidden/>
              </w:rPr>
              <w:tab/>
            </w:r>
            <w:r w:rsidR="001F2C5F">
              <w:rPr>
                <w:noProof/>
                <w:webHidden/>
              </w:rPr>
              <w:fldChar w:fldCharType="begin"/>
            </w:r>
            <w:r w:rsidR="001F2C5F">
              <w:rPr>
                <w:noProof/>
                <w:webHidden/>
              </w:rPr>
              <w:instrText xml:space="preserve"> PAGEREF _Toc493323978 \h </w:instrText>
            </w:r>
            <w:r w:rsidR="001F2C5F">
              <w:rPr>
                <w:noProof/>
                <w:webHidden/>
              </w:rPr>
            </w:r>
            <w:r w:rsidR="001F2C5F">
              <w:rPr>
                <w:noProof/>
                <w:webHidden/>
              </w:rPr>
              <w:fldChar w:fldCharType="separate"/>
            </w:r>
            <w:r w:rsidR="001136D4">
              <w:rPr>
                <w:noProof/>
                <w:webHidden/>
              </w:rPr>
              <w:t>34</w:t>
            </w:r>
            <w:r w:rsidR="001F2C5F">
              <w:rPr>
                <w:noProof/>
                <w:webHidden/>
              </w:rPr>
              <w:fldChar w:fldCharType="end"/>
            </w:r>
          </w:hyperlink>
        </w:p>
        <w:p w14:paraId="0DD7F97E" w14:textId="40489D34" w:rsidR="001F2C5F" w:rsidRDefault="00EA16F3">
          <w:pPr>
            <w:pStyle w:val="20"/>
            <w:tabs>
              <w:tab w:val="right" w:leader="dot" w:pos="8659"/>
            </w:tabs>
            <w:rPr>
              <w:rFonts w:eastAsiaTheme="minorEastAsia"/>
              <w:noProof/>
              <w:lang w:eastAsia="el-GR"/>
            </w:rPr>
          </w:pPr>
          <w:hyperlink w:anchor="_Toc493323979" w:history="1">
            <w:r w:rsidR="001F2C5F" w:rsidRPr="00AE3D69">
              <w:rPr>
                <w:rStyle w:val="-"/>
                <w:noProof/>
              </w:rPr>
              <w:t>1.5.3.2 Ειδική αξιολόγηση γεύσης</w:t>
            </w:r>
            <w:r w:rsidR="001F2C5F">
              <w:rPr>
                <w:noProof/>
                <w:webHidden/>
              </w:rPr>
              <w:tab/>
            </w:r>
            <w:r w:rsidR="001F2C5F">
              <w:rPr>
                <w:noProof/>
                <w:webHidden/>
              </w:rPr>
              <w:fldChar w:fldCharType="begin"/>
            </w:r>
            <w:r w:rsidR="001F2C5F">
              <w:rPr>
                <w:noProof/>
                <w:webHidden/>
              </w:rPr>
              <w:instrText xml:space="preserve"> PAGEREF _Toc493323979 \h </w:instrText>
            </w:r>
            <w:r w:rsidR="001F2C5F">
              <w:rPr>
                <w:noProof/>
                <w:webHidden/>
              </w:rPr>
            </w:r>
            <w:r w:rsidR="001F2C5F">
              <w:rPr>
                <w:noProof/>
                <w:webHidden/>
              </w:rPr>
              <w:fldChar w:fldCharType="separate"/>
            </w:r>
            <w:r w:rsidR="001136D4">
              <w:rPr>
                <w:noProof/>
                <w:webHidden/>
              </w:rPr>
              <w:t>35</w:t>
            </w:r>
            <w:r w:rsidR="001F2C5F">
              <w:rPr>
                <w:noProof/>
                <w:webHidden/>
              </w:rPr>
              <w:fldChar w:fldCharType="end"/>
            </w:r>
          </w:hyperlink>
        </w:p>
        <w:p w14:paraId="318B212E" w14:textId="53E7964B" w:rsidR="001F2C5F" w:rsidRDefault="00EA16F3">
          <w:pPr>
            <w:pStyle w:val="20"/>
            <w:tabs>
              <w:tab w:val="right" w:leader="dot" w:pos="8659"/>
            </w:tabs>
            <w:rPr>
              <w:rFonts w:eastAsiaTheme="minorEastAsia"/>
              <w:noProof/>
              <w:lang w:eastAsia="el-GR"/>
            </w:rPr>
          </w:pPr>
          <w:hyperlink w:anchor="_Toc493323980" w:history="1">
            <w:r w:rsidR="001F2C5F" w:rsidRPr="00AE3D69">
              <w:rPr>
                <w:rStyle w:val="-"/>
                <w:noProof/>
              </w:rPr>
              <w:t>1.5.3.3 Ειδική αξιολόγηση κινητικής συμπεριφοράς των οργάνων</w:t>
            </w:r>
            <w:r w:rsidR="001F2C5F">
              <w:rPr>
                <w:noProof/>
                <w:webHidden/>
              </w:rPr>
              <w:tab/>
            </w:r>
            <w:r w:rsidR="001F2C5F">
              <w:rPr>
                <w:noProof/>
                <w:webHidden/>
              </w:rPr>
              <w:fldChar w:fldCharType="begin"/>
            </w:r>
            <w:r w:rsidR="001F2C5F">
              <w:rPr>
                <w:noProof/>
                <w:webHidden/>
              </w:rPr>
              <w:instrText xml:space="preserve"> PAGEREF _Toc493323980 \h </w:instrText>
            </w:r>
            <w:r w:rsidR="001F2C5F">
              <w:rPr>
                <w:noProof/>
                <w:webHidden/>
              </w:rPr>
            </w:r>
            <w:r w:rsidR="001F2C5F">
              <w:rPr>
                <w:noProof/>
                <w:webHidden/>
              </w:rPr>
              <w:fldChar w:fldCharType="separate"/>
            </w:r>
            <w:r w:rsidR="001136D4">
              <w:rPr>
                <w:noProof/>
                <w:webHidden/>
              </w:rPr>
              <w:t>35</w:t>
            </w:r>
            <w:r w:rsidR="001F2C5F">
              <w:rPr>
                <w:noProof/>
                <w:webHidden/>
              </w:rPr>
              <w:fldChar w:fldCharType="end"/>
            </w:r>
          </w:hyperlink>
        </w:p>
        <w:p w14:paraId="4184A359" w14:textId="348D9928" w:rsidR="001F2C5F" w:rsidRDefault="00EA16F3">
          <w:pPr>
            <w:pStyle w:val="20"/>
            <w:tabs>
              <w:tab w:val="right" w:leader="dot" w:pos="8659"/>
            </w:tabs>
            <w:rPr>
              <w:rFonts w:eastAsiaTheme="minorEastAsia"/>
              <w:noProof/>
              <w:lang w:eastAsia="el-GR"/>
            </w:rPr>
          </w:pPr>
          <w:hyperlink w:anchor="_Toc493323981" w:history="1">
            <w:r w:rsidR="001F2C5F" w:rsidRPr="00AE3D69">
              <w:rPr>
                <w:rStyle w:val="-"/>
                <w:noProof/>
              </w:rPr>
              <w:t>1.5.3.4 Ειδική αξιολόγηση διαταραχών στοματικού σταδίου</w:t>
            </w:r>
            <w:r w:rsidR="001F2C5F">
              <w:rPr>
                <w:noProof/>
                <w:webHidden/>
              </w:rPr>
              <w:tab/>
            </w:r>
            <w:r w:rsidR="001F2C5F">
              <w:rPr>
                <w:noProof/>
                <w:webHidden/>
              </w:rPr>
              <w:fldChar w:fldCharType="begin"/>
            </w:r>
            <w:r w:rsidR="001F2C5F">
              <w:rPr>
                <w:noProof/>
                <w:webHidden/>
              </w:rPr>
              <w:instrText xml:space="preserve"> PAGEREF _Toc493323981 \h </w:instrText>
            </w:r>
            <w:r w:rsidR="001F2C5F">
              <w:rPr>
                <w:noProof/>
                <w:webHidden/>
              </w:rPr>
            </w:r>
            <w:r w:rsidR="001F2C5F">
              <w:rPr>
                <w:noProof/>
                <w:webHidden/>
              </w:rPr>
              <w:fldChar w:fldCharType="separate"/>
            </w:r>
            <w:r w:rsidR="001136D4">
              <w:rPr>
                <w:noProof/>
                <w:webHidden/>
              </w:rPr>
              <w:t>37</w:t>
            </w:r>
            <w:r w:rsidR="001F2C5F">
              <w:rPr>
                <w:noProof/>
                <w:webHidden/>
              </w:rPr>
              <w:fldChar w:fldCharType="end"/>
            </w:r>
          </w:hyperlink>
        </w:p>
        <w:p w14:paraId="187B6BAB" w14:textId="7D3551D8" w:rsidR="001F2C5F" w:rsidRDefault="00EA16F3">
          <w:pPr>
            <w:pStyle w:val="20"/>
            <w:tabs>
              <w:tab w:val="right" w:leader="dot" w:pos="8659"/>
            </w:tabs>
            <w:rPr>
              <w:rFonts w:eastAsiaTheme="minorEastAsia"/>
              <w:noProof/>
              <w:lang w:eastAsia="el-GR"/>
            </w:rPr>
          </w:pPr>
          <w:hyperlink w:anchor="_Toc493323982" w:history="1">
            <w:r w:rsidR="001F2C5F" w:rsidRPr="00AE3D69">
              <w:rPr>
                <w:rStyle w:val="-"/>
                <w:noProof/>
              </w:rPr>
              <w:t>1.5.3.5 Ειδική αξιολόγηση διαταραχών φαρυγγικού σταδίου</w:t>
            </w:r>
            <w:r w:rsidR="001F2C5F">
              <w:rPr>
                <w:noProof/>
                <w:webHidden/>
              </w:rPr>
              <w:tab/>
            </w:r>
            <w:r w:rsidR="001F2C5F">
              <w:rPr>
                <w:noProof/>
                <w:webHidden/>
              </w:rPr>
              <w:fldChar w:fldCharType="begin"/>
            </w:r>
            <w:r w:rsidR="001F2C5F">
              <w:rPr>
                <w:noProof/>
                <w:webHidden/>
              </w:rPr>
              <w:instrText xml:space="preserve"> PAGEREF _Toc493323982 \h </w:instrText>
            </w:r>
            <w:r w:rsidR="001F2C5F">
              <w:rPr>
                <w:noProof/>
                <w:webHidden/>
              </w:rPr>
            </w:r>
            <w:r w:rsidR="001F2C5F">
              <w:rPr>
                <w:noProof/>
                <w:webHidden/>
              </w:rPr>
              <w:fldChar w:fldCharType="separate"/>
            </w:r>
            <w:r w:rsidR="001136D4">
              <w:rPr>
                <w:noProof/>
                <w:webHidden/>
              </w:rPr>
              <w:t>37</w:t>
            </w:r>
            <w:r w:rsidR="001F2C5F">
              <w:rPr>
                <w:noProof/>
                <w:webHidden/>
              </w:rPr>
              <w:fldChar w:fldCharType="end"/>
            </w:r>
          </w:hyperlink>
        </w:p>
        <w:p w14:paraId="51DE4CE5" w14:textId="0E5891B1" w:rsidR="001F2C5F" w:rsidRDefault="00EA16F3">
          <w:pPr>
            <w:pStyle w:val="20"/>
            <w:tabs>
              <w:tab w:val="right" w:leader="dot" w:pos="8659"/>
            </w:tabs>
            <w:rPr>
              <w:rFonts w:eastAsiaTheme="minorEastAsia"/>
              <w:noProof/>
              <w:lang w:eastAsia="el-GR"/>
            </w:rPr>
          </w:pPr>
          <w:hyperlink w:anchor="_Toc493323983" w:history="1">
            <w:r w:rsidR="001F2C5F" w:rsidRPr="00AE3D69">
              <w:rPr>
                <w:rStyle w:val="-"/>
                <w:noProof/>
              </w:rPr>
              <w:t>1.5.3.6  Ειδική αξιολόγηση λαρυγγικής λειτουργίας</w:t>
            </w:r>
            <w:r w:rsidR="001F2C5F">
              <w:rPr>
                <w:noProof/>
                <w:webHidden/>
              </w:rPr>
              <w:tab/>
            </w:r>
            <w:r w:rsidR="001F2C5F">
              <w:rPr>
                <w:noProof/>
                <w:webHidden/>
              </w:rPr>
              <w:fldChar w:fldCharType="begin"/>
            </w:r>
            <w:r w:rsidR="001F2C5F">
              <w:rPr>
                <w:noProof/>
                <w:webHidden/>
              </w:rPr>
              <w:instrText xml:space="preserve"> PAGEREF _Toc493323983 \h </w:instrText>
            </w:r>
            <w:r w:rsidR="001F2C5F">
              <w:rPr>
                <w:noProof/>
                <w:webHidden/>
              </w:rPr>
            </w:r>
            <w:r w:rsidR="001F2C5F">
              <w:rPr>
                <w:noProof/>
                <w:webHidden/>
              </w:rPr>
              <w:fldChar w:fldCharType="separate"/>
            </w:r>
            <w:r w:rsidR="001136D4">
              <w:rPr>
                <w:noProof/>
                <w:webHidden/>
              </w:rPr>
              <w:t>38</w:t>
            </w:r>
            <w:r w:rsidR="001F2C5F">
              <w:rPr>
                <w:noProof/>
                <w:webHidden/>
              </w:rPr>
              <w:fldChar w:fldCharType="end"/>
            </w:r>
          </w:hyperlink>
        </w:p>
        <w:p w14:paraId="5838DBDC" w14:textId="5A41A8F8" w:rsidR="001F2C5F" w:rsidRDefault="00EA16F3">
          <w:pPr>
            <w:pStyle w:val="20"/>
            <w:tabs>
              <w:tab w:val="right" w:leader="dot" w:pos="8659"/>
            </w:tabs>
            <w:rPr>
              <w:rFonts w:eastAsiaTheme="minorEastAsia"/>
              <w:noProof/>
              <w:lang w:eastAsia="el-GR"/>
            </w:rPr>
          </w:pPr>
          <w:hyperlink w:anchor="_Toc493323984" w:history="1">
            <w:r w:rsidR="001F2C5F" w:rsidRPr="00AE3D69">
              <w:rPr>
                <w:rStyle w:val="-"/>
                <w:noProof/>
              </w:rPr>
              <w:t>1.5.3.7 Ειδική αξιολόγηση αναγωγής</w:t>
            </w:r>
            <w:r w:rsidR="001F2C5F">
              <w:rPr>
                <w:noProof/>
                <w:webHidden/>
              </w:rPr>
              <w:tab/>
            </w:r>
            <w:r w:rsidR="001F2C5F">
              <w:rPr>
                <w:noProof/>
                <w:webHidden/>
              </w:rPr>
              <w:fldChar w:fldCharType="begin"/>
            </w:r>
            <w:r w:rsidR="001F2C5F">
              <w:rPr>
                <w:noProof/>
                <w:webHidden/>
              </w:rPr>
              <w:instrText xml:space="preserve"> PAGEREF _Toc493323984 \h </w:instrText>
            </w:r>
            <w:r w:rsidR="001F2C5F">
              <w:rPr>
                <w:noProof/>
                <w:webHidden/>
              </w:rPr>
            </w:r>
            <w:r w:rsidR="001F2C5F">
              <w:rPr>
                <w:noProof/>
                <w:webHidden/>
              </w:rPr>
              <w:fldChar w:fldCharType="separate"/>
            </w:r>
            <w:r w:rsidR="001136D4">
              <w:rPr>
                <w:noProof/>
                <w:webHidden/>
              </w:rPr>
              <w:t>38</w:t>
            </w:r>
            <w:r w:rsidR="001F2C5F">
              <w:rPr>
                <w:noProof/>
                <w:webHidden/>
              </w:rPr>
              <w:fldChar w:fldCharType="end"/>
            </w:r>
          </w:hyperlink>
        </w:p>
        <w:p w14:paraId="18576BA1" w14:textId="3B962324" w:rsidR="001F2C5F" w:rsidRDefault="00EA16F3">
          <w:pPr>
            <w:pStyle w:val="20"/>
            <w:tabs>
              <w:tab w:val="right" w:leader="dot" w:pos="8659"/>
            </w:tabs>
            <w:rPr>
              <w:rFonts w:eastAsiaTheme="minorEastAsia"/>
              <w:noProof/>
              <w:lang w:eastAsia="el-GR"/>
            </w:rPr>
          </w:pPr>
          <w:hyperlink w:anchor="_Toc493323985" w:history="1">
            <w:r w:rsidR="001F2C5F" w:rsidRPr="00AE3D69">
              <w:rPr>
                <w:rStyle w:val="-"/>
                <w:noProof/>
              </w:rPr>
              <w:t>1.5.4  Εργαλεία αυτ</w:t>
            </w:r>
            <w:r w:rsidR="001F2C5F" w:rsidRPr="00AE3D69">
              <w:rPr>
                <w:rStyle w:val="-"/>
                <w:noProof/>
                <w:lang w:val="en-US"/>
              </w:rPr>
              <w:t>o</w:t>
            </w:r>
            <w:r w:rsidR="001F2C5F" w:rsidRPr="00AE3D69">
              <w:rPr>
                <w:rStyle w:val="-"/>
                <w:noProof/>
              </w:rPr>
              <w:t>-αξιολόγησης</w:t>
            </w:r>
            <w:r w:rsidR="001F2C5F">
              <w:rPr>
                <w:noProof/>
                <w:webHidden/>
              </w:rPr>
              <w:tab/>
            </w:r>
            <w:r w:rsidR="001F2C5F">
              <w:rPr>
                <w:noProof/>
                <w:webHidden/>
              </w:rPr>
              <w:fldChar w:fldCharType="begin"/>
            </w:r>
            <w:r w:rsidR="001F2C5F">
              <w:rPr>
                <w:noProof/>
                <w:webHidden/>
              </w:rPr>
              <w:instrText xml:space="preserve"> PAGEREF _Toc493323985 \h </w:instrText>
            </w:r>
            <w:r w:rsidR="001F2C5F">
              <w:rPr>
                <w:noProof/>
                <w:webHidden/>
              </w:rPr>
            </w:r>
            <w:r w:rsidR="001F2C5F">
              <w:rPr>
                <w:noProof/>
                <w:webHidden/>
              </w:rPr>
              <w:fldChar w:fldCharType="separate"/>
            </w:r>
            <w:r w:rsidR="001136D4">
              <w:rPr>
                <w:noProof/>
                <w:webHidden/>
              </w:rPr>
              <w:t>39</w:t>
            </w:r>
            <w:r w:rsidR="001F2C5F">
              <w:rPr>
                <w:noProof/>
                <w:webHidden/>
              </w:rPr>
              <w:fldChar w:fldCharType="end"/>
            </w:r>
          </w:hyperlink>
        </w:p>
        <w:p w14:paraId="6CC8B7C2" w14:textId="096C1365" w:rsidR="001F2C5F" w:rsidRDefault="00EA16F3">
          <w:pPr>
            <w:pStyle w:val="20"/>
            <w:tabs>
              <w:tab w:val="right" w:leader="dot" w:pos="8659"/>
            </w:tabs>
            <w:rPr>
              <w:rFonts w:eastAsiaTheme="minorEastAsia"/>
              <w:noProof/>
              <w:lang w:eastAsia="el-GR"/>
            </w:rPr>
          </w:pPr>
          <w:hyperlink w:anchor="_Toc493323986" w:history="1">
            <w:r w:rsidR="001F2C5F" w:rsidRPr="00AE3D69">
              <w:rPr>
                <w:rStyle w:val="-"/>
                <w:noProof/>
              </w:rPr>
              <w:t>1.6 Προβληματική της έρευνας</w:t>
            </w:r>
            <w:r w:rsidR="001F2C5F">
              <w:rPr>
                <w:noProof/>
                <w:webHidden/>
              </w:rPr>
              <w:tab/>
            </w:r>
            <w:r w:rsidR="001F2C5F">
              <w:rPr>
                <w:noProof/>
                <w:webHidden/>
              </w:rPr>
              <w:fldChar w:fldCharType="begin"/>
            </w:r>
            <w:r w:rsidR="001F2C5F">
              <w:rPr>
                <w:noProof/>
                <w:webHidden/>
              </w:rPr>
              <w:instrText xml:space="preserve"> PAGEREF _Toc493323986 \h </w:instrText>
            </w:r>
            <w:r w:rsidR="001F2C5F">
              <w:rPr>
                <w:noProof/>
                <w:webHidden/>
              </w:rPr>
            </w:r>
            <w:r w:rsidR="001F2C5F">
              <w:rPr>
                <w:noProof/>
                <w:webHidden/>
              </w:rPr>
              <w:fldChar w:fldCharType="separate"/>
            </w:r>
            <w:r w:rsidR="001136D4">
              <w:rPr>
                <w:noProof/>
                <w:webHidden/>
              </w:rPr>
              <w:t>40</w:t>
            </w:r>
            <w:r w:rsidR="001F2C5F">
              <w:rPr>
                <w:noProof/>
                <w:webHidden/>
              </w:rPr>
              <w:fldChar w:fldCharType="end"/>
            </w:r>
          </w:hyperlink>
        </w:p>
        <w:p w14:paraId="6B3E7720" w14:textId="7269A796" w:rsidR="001F2C5F" w:rsidRDefault="00EA16F3">
          <w:pPr>
            <w:pStyle w:val="14"/>
            <w:rPr>
              <w:rFonts w:eastAsiaTheme="minorEastAsia"/>
              <w:noProof/>
              <w:lang w:eastAsia="el-GR"/>
            </w:rPr>
          </w:pPr>
          <w:hyperlink w:anchor="_Toc493323987" w:history="1">
            <w:r w:rsidR="001F2C5F" w:rsidRPr="00AE3D69">
              <w:rPr>
                <w:rStyle w:val="-"/>
                <w:rFonts w:cs="Times New Roman"/>
                <w:noProof/>
              </w:rPr>
              <w:t>Κεφάλαιο 2: Μεθοδολογία Έρευνας</w:t>
            </w:r>
            <w:r w:rsidR="001F2C5F">
              <w:rPr>
                <w:noProof/>
                <w:webHidden/>
              </w:rPr>
              <w:tab/>
            </w:r>
            <w:r w:rsidR="001F2C5F">
              <w:rPr>
                <w:noProof/>
                <w:webHidden/>
              </w:rPr>
              <w:fldChar w:fldCharType="begin"/>
            </w:r>
            <w:r w:rsidR="001F2C5F">
              <w:rPr>
                <w:noProof/>
                <w:webHidden/>
              </w:rPr>
              <w:instrText xml:space="preserve"> PAGEREF _Toc493323987 \h </w:instrText>
            </w:r>
            <w:r w:rsidR="001F2C5F">
              <w:rPr>
                <w:noProof/>
                <w:webHidden/>
              </w:rPr>
            </w:r>
            <w:r w:rsidR="001F2C5F">
              <w:rPr>
                <w:noProof/>
                <w:webHidden/>
              </w:rPr>
              <w:fldChar w:fldCharType="separate"/>
            </w:r>
            <w:r w:rsidR="001136D4">
              <w:rPr>
                <w:noProof/>
                <w:webHidden/>
              </w:rPr>
              <w:t>42</w:t>
            </w:r>
            <w:r w:rsidR="001F2C5F">
              <w:rPr>
                <w:noProof/>
                <w:webHidden/>
              </w:rPr>
              <w:fldChar w:fldCharType="end"/>
            </w:r>
          </w:hyperlink>
        </w:p>
        <w:p w14:paraId="566CE4F5" w14:textId="37674EFE" w:rsidR="001F2C5F" w:rsidRDefault="00EA16F3">
          <w:pPr>
            <w:pStyle w:val="20"/>
            <w:tabs>
              <w:tab w:val="right" w:leader="dot" w:pos="8659"/>
            </w:tabs>
            <w:rPr>
              <w:rFonts w:eastAsiaTheme="minorEastAsia"/>
              <w:noProof/>
              <w:lang w:eastAsia="el-GR"/>
            </w:rPr>
          </w:pPr>
          <w:hyperlink w:anchor="_Toc493323988" w:history="1">
            <w:r w:rsidR="001F2C5F" w:rsidRPr="00AE3D69">
              <w:rPr>
                <w:rStyle w:val="-"/>
                <w:noProof/>
              </w:rPr>
              <w:t>2.1 Σχεδιασμός Έρευνας</w:t>
            </w:r>
            <w:r w:rsidR="001F2C5F">
              <w:rPr>
                <w:noProof/>
                <w:webHidden/>
              </w:rPr>
              <w:tab/>
            </w:r>
            <w:r w:rsidR="001F2C5F">
              <w:rPr>
                <w:noProof/>
                <w:webHidden/>
              </w:rPr>
              <w:fldChar w:fldCharType="begin"/>
            </w:r>
            <w:r w:rsidR="001F2C5F">
              <w:rPr>
                <w:noProof/>
                <w:webHidden/>
              </w:rPr>
              <w:instrText xml:space="preserve"> PAGEREF _Toc493323988 \h </w:instrText>
            </w:r>
            <w:r w:rsidR="001F2C5F">
              <w:rPr>
                <w:noProof/>
                <w:webHidden/>
              </w:rPr>
            </w:r>
            <w:r w:rsidR="001F2C5F">
              <w:rPr>
                <w:noProof/>
                <w:webHidden/>
              </w:rPr>
              <w:fldChar w:fldCharType="separate"/>
            </w:r>
            <w:r w:rsidR="001136D4">
              <w:rPr>
                <w:noProof/>
                <w:webHidden/>
              </w:rPr>
              <w:t>42</w:t>
            </w:r>
            <w:r w:rsidR="001F2C5F">
              <w:rPr>
                <w:noProof/>
                <w:webHidden/>
              </w:rPr>
              <w:fldChar w:fldCharType="end"/>
            </w:r>
          </w:hyperlink>
        </w:p>
        <w:p w14:paraId="2A987F38" w14:textId="7CE2251B" w:rsidR="001F2C5F" w:rsidRDefault="00EA16F3">
          <w:pPr>
            <w:pStyle w:val="20"/>
            <w:tabs>
              <w:tab w:val="right" w:leader="dot" w:pos="8659"/>
            </w:tabs>
            <w:rPr>
              <w:rFonts w:eastAsiaTheme="minorEastAsia"/>
              <w:noProof/>
              <w:lang w:eastAsia="el-GR"/>
            </w:rPr>
          </w:pPr>
          <w:hyperlink w:anchor="_Toc493323989" w:history="1">
            <w:r w:rsidR="001F2C5F" w:rsidRPr="00AE3D69">
              <w:rPr>
                <w:rStyle w:val="-"/>
                <w:noProof/>
              </w:rPr>
              <w:t>2.2 Καθορισμός πληθυσμού και μέγεθος δείγματος</w:t>
            </w:r>
            <w:r w:rsidR="001F2C5F">
              <w:rPr>
                <w:noProof/>
                <w:webHidden/>
              </w:rPr>
              <w:tab/>
            </w:r>
            <w:r w:rsidR="001F2C5F">
              <w:rPr>
                <w:noProof/>
                <w:webHidden/>
              </w:rPr>
              <w:fldChar w:fldCharType="begin"/>
            </w:r>
            <w:r w:rsidR="001F2C5F">
              <w:rPr>
                <w:noProof/>
                <w:webHidden/>
              </w:rPr>
              <w:instrText xml:space="preserve"> PAGEREF _Toc493323989 \h </w:instrText>
            </w:r>
            <w:r w:rsidR="001F2C5F">
              <w:rPr>
                <w:noProof/>
                <w:webHidden/>
              </w:rPr>
            </w:r>
            <w:r w:rsidR="001F2C5F">
              <w:rPr>
                <w:noProof/>
                <w:webHidden/>
              </w:rPr>
              <w:fldChar w:fldCharType="separate"/>
            </w:r>
            <w:r w:rsidR="001136D4">
              <w:rPr>
                <w:noProof/>
                <w:webHidden/>
              </w:rPr>
              <w:t>43</w:t>
            </w:r>
            <w:r w:rsidR="001F2C5F">
              <w:rPr>
                <w:noProof/>
                <w:webHidden/>
              </w:rPr>
              <w:fldChar w:fldCharType="end"/>
            </w:r>
          </w:hyperlink>
        </w:p>
        <w:p w14:paraId="3755569E" w14:textId="0EC97C9B" w:rsidR="001F2C5F" w:rsidRDefault="00EA16F3">
          <w:pPr>
            <w:pStyle w:val="20"/>
            <w:tabs>
              <w:tab w:val="right" w:leader="dot" w:pos="8659"/>
            </w:tabs>
            <w:rPr>
              <w:rFonts w:eastAsiaTheme="minorEastAsia"/>
              <w:noProof/>
              <w:lang w:eastAsia="el-GR"/>
            </w:rPr>
          </w:pPr>
          <w:hyperlink w:anchor="_Toc493323990" w:history="1">
            <w:r w:rsidR="001F2C5F" w:rsidRPr="00AE3D69">
              <w:rPr>
                <w:rStyle w:val="-"/>
                <w:noProof/>
              </w:rPr>
              <w:t>2.3 Μέσα και τρόπος συλλογής δεδομένων</w:t>
            </w:r>
            <w:r w:rsidR="001F2C5F">
              <w:rPr>
                <w:noProof/>
                <w:webHidden/>
              </w:rPr>
              <w:tab/>
            </w:r>
            <w:r w:rsidR="001F2C5F">
              <w:rPr>
                <w:noProof/>
                <w:webHidden/>
              </w:rPr>
              <w:fldChar w:fldCharType="begin"/>
            </w:r>
            <w:r w:rsidR="001F2C5F">
              <w:rPr>
                <w:noProof/>
                <w:webHidden/>
              </w:rPr>
              <w:instrText xml:space="preserve"> PAGEREF _Toc493323990 \h </w:instrText>
            </w:r>
            <w:r w:rsidR="001F2C5F">
              <w:rPr>
                <w:noProof/>
                <w:webHidden/>
              </w:rPr>
            </w:r>
            <w:r w:rsidR="001F2C5F">
              <w:rPr>
                <w:noProof/>
                <w:webHidden/>
              </w:rPr>
              <w:fldChar w:fldCharType="separate"/>
            </w:r>
            <w:r w:rsidR="001136D4">
              <w:rPr>
                <w:noProof/>
                <w:webHidden/>
              </w:rPr>
              <w:t>43</w:t>
            </w:r>
            <w:r w:rsidR="001F2C5F">
              <w:rPr>
                <w:noProof/>
                <w:webHidden/>
              </w:rPr>
              <w:fldChar w:fldCharType="end"/>
            </w:r>
          </w:hyperlink>
        </w:p>
        <w:p w14:paraId="5FE8CBFB" w14:textId="46D1C889" w:rsidR="001F2C5F" w:rsidRDefault="00EA16F3">
          <w:pPr>
            <w:pStyle w:val="20"/>
            <w:tabs>
              <w:tab w:val="right" w:leader="dot" w:pos="8659"/>
            </w:tabs>
            <w:rPr>
              <w:rFonts w:eastAsiaTheme="minorEastAsia"/>
              <w:noProof/>
              <w:lang w:eastAsia="el-GR"/>
            </w:rPr>
          </w:pPr>
          <w:hyperlink w:anchor="_Toc493323991" w:history="1">
            <w:r w:rsidR="001F2C5F" w:rsidRPr="00AE3D69">
              <w:rPr>
                <w:rStyle w:val="-"/>
                <w:noProof/>
                <w:lang w:val="en-US"/>
              </w:rPr>
              <w:t xml:space="preserve">2.4 </w:t>
            </w:r>
            <w:r w:rsidR="001F2C5F" w:rsidRPr="00AE3D69">
              <w:rPr>
                <w:rStyle w:val="-"/>
                <w:noProof/>
              </w:rPr>
              <w:t>Μετάφραση</w:t>
            </w:r>
            <w:r w:rsidR="001F2C5F" w:rsidRPr="00AE3D69">
              <w:rPr>
                <w:rStyle w:val="-"/>
                <w:noProof/>
                <w:lang w:val="en-US"/>
              </w:rPr>
              <w:t xml:space="preserve"> </w:t>
            </w:r>
            <w:r w:rsidR="001F2C5F" w:rsidRPr="00AE3D69">
              <w:rPr>
                <w:rStyle w:val="-"/>
                <w:noProof/>
              </w:rPr>
              <w:t>του</w:t>
            </w:r>
            <w:r w:rsidR="001F2C5F" w:rsidRPr="00AE3D69">
              <w:rPr>
                <w:rStyle w:val="-"/>
                <w:noProof/>
                <w:lang w:val="en-US"/>
              </w:rPr>
              <w:t xml:space="preserve"> </w:t>
            </w:r>
            <w:r w:rsidR="001F2C5F" w:rsidRPr="00AE3D69">
              <w:rPr>
                <w:rStyle w:val="-"/>
                <w:noProof/>
              </w:rPr>
              <w:t>ερωτηματολογίου</w:t>
            </w:r>
            <w:r w:rsidR="001F2C5F" w:rsidRPr="00AE3D69">
              <w:rPr>
                <w:rStyle w:val="-"/>
                <w:noProof/>
                <w:lang w:val="en-US"/>
              </w:rPr>
              <w:t xml:space="preserve"> Dysphagia in Head and Neck Cancer</w:t>
            </w:r>
            <w:r w:rsidR="001F2C5F">
              <w:rPr>
                <w:noProof/>
                <w:webHidden/>
              </w:rPr>
              <w:tab/>
            </w:r>
            <w:r w:rsidR="001F2C5F">
              <w:rPr>
                <w:noProof/>
                <w:webHidden/>
              </w:rPr>
              <w:fldChar w:fldCharType="begin"/>
            </w:r>
            <w:r w:rsidR="001F2C5F">
              <w:rPr>
                <w:noProof/>
                <w:webHidden/>
              </w:rPr>
              <w:instrText xml:space="preserve"> PAGEREF _Toc493323991 \h </w:instrText>
            </w:r>
            <w:r w:rsidR="001F2C5F">
              <w:rPr>
                <w:noProof/>
                <w:webHidden/>
              </w:rPr>
            </w:r>
            <w:r w:rsidR="001F2C5F">
              <w:rPr>
                <w:noProof/>
                <w:webHidden/>
              </w:rPr>
              <w:fldChar w:fldCharType="separate"/>
            </w:r>
            <w:r w:rsidR="001136D4">
              <w:rPr>
                <w:noProof/>
                <w:webHidden/>
              </w:rPr>
              <w:t>43</w:t>
            </w:r>
            <w:r w:rsidR="001F2C5F">
              <w:rPr>
                <w:noProof/>
                <w:webHidden/>
              </w:rPr>
              <w:fldChar w:fldCharType="end"/>
            </w:r>
          </w:hyperlink>
        </w:p>
        <w:p w14:paraId="00E63B32" w14:textId="5977BE9B" w:rsidR="001F2C5F" w:rsidRDefault="00EA16F3">
          <w:pPr>
            <w:pStyle w:val="20"/>
            <w:tabs>
              <w:tab w:val="right" w:leader="dot" w:pos="8659"/>
            </w:tabs>
            <w:rPr>
              <w:rFonts w:eastAsiaTheme="minorEastAsia"/>
              <w:noProof/>
              <w:lang w:eastAsia="el-GR"/>
            </w:rPr>
          </w:pPr>
          <w:hyperlink w:anchor="_Toc493323992" w:history="1">
            <w:r w:rsidR="001F2C5F" w:rsidRPr="00AE3D69">
              <w:rPr>
                <w:rStyle w:val="-"/>
                <w:noProof/>
              </w:rPr>
              <w:t>2.5 Στατιστικές αναλύσεις</w:t>
            </w:r>
            <w:r w:rsidR="001F2C5F">
              <w:rPr>
                <w:noProof/>
                <w:webHidden/>
              </w:rPr>
              <w:tab/>
            </w:r>
            <w:r w:rsidR="001F2C5F">
              <w:rPr>
                <w:noProof/>
                <w:webHidden/>
              </w:rPr>
              <w:fldChar w:fldCharType="begin"/>
            </w:r>
            <w:r w:rsidR="001F2C5F">
              <w:rPr>
                <w:noProof/>
                <w:webHidden/>
              </w:rPr>
              <w:instrText xml:space="preserve"> PAGEREF _Toc493323992 \h </w:instrText>
            </w:r>
            <w:r w:rsidR="001F2C5F">
              <w:rPr>
                <w:noProof/>
                <w:webHidden/>
              </w:rPr>
            </w:r>
            <w:r w:rsidR="001F2C5F">
              <w:rPr>
                <w:noProof/>
                <w:webHidden/>
              </w:rPr>
              <w:fldChar w:fldCharType="separate"/>
            </w:r>
            <w:r w:rsidR="001136D4">
              <w:rPr>
                <w:noProof/>
                <w:webHidden/>
              </w:rPr>
              <w:t>44</w:t>
            </w:r>
            <w:r w:rsidR="001F2C5F">
              <w:rPr>
                <w:noProof/>
                <w:webHidden/>
              </w:rPr>
              <w:fldChar w:fldCharType="end"/>
            </w:r>
          </w:hyperlink>
        </w:p>
        <w:p w14:paraId="1B79ACEE" w14:textId="213DE05B" w:rsidR="001F2C5F" w:rsidRDefault="00EA16F3">
          <w:pPr>
            <w:pStyle w:val="20"/>
            <w:tabs>
              <w:tab w:val="right" w:leader="dot" w:pos="8659"/>
            </w:tabs>
            <w:rPr>
              <w:rFonts w:eastAsiaTheme="minorEastAsia"/>
              <w:noProof/>
              <w:lang w:eastAsia="el-GR"/>
            </w:rPr>
          </w:pPr>
          <w:hyperlink w:anchor="_Toc493323993" w:history="1">
            <w:r w:rsidR="001F2C5F" w:rsidRPr="00AE3D69">
              <w:rPr>
                <w:rStyle w:val="-"/>
                <w:noProof/>
              </w:rPr>
              <w:t>2.6  Περιορισμοί της έρευνας</w:t>
            </w:r>
            <w:r w:rsidR="001F2C5F">
              <w:rPr>
                <w:noProof/>
                <w:webHidden/>
              </w:rPr>
              <w:tab/>
            </w:r>
            <w:r w:rsidR="001F2C5F">
              <w:rPr>
                <w:noProof/>
                <w:webHidden/>
              </w:rPr>
              <w:fldChar w:fldCharType="begin"/>
            </w:r>
            <w:r w:rsidR="001F2C5F">
              <w:rPr>
                <w:noProof/>
                <w:webHidden/>
              </w:rPr>
              <w:instrText xml:space="preserve"> PAGEREF _Toc493323993 \h </w:instrText>
            </w:r>
            <w:r w:rsidR="001F2C5F">
              <w:rPr>
                <w:noProof/>
                <w:webHidden/>
              </w:rPr>
            </w:r>
            <w:r w:rsidR="001F2C5F">
              <w:rPr>
                <w:noProof/>
                <w:webHidden/>
              </w:rPr>
              <w:fldChar w:fldCharType="separate"/>
            </w:r>
            <w:r w:rsidR="001136D4">
              <w:rPr>
                <w:noProof/>
                <w:webHidden/>
              </w:rPr>
              <w:t>44</w:t>
            </w:r>
            <w:r w:rsidR="001F2C5F">
              <w:rPr>
                <w:noProof/>
                <w:webHidden/>
              </w:rPr>
              <w:fldChar w:fldCharType="end"/>
            </w:r>
          </w:hyperlink>
        </w:p>
        <w:p w14:paraId="25EBF00B" w14:textId="06979A9E" w:rsidR="001F2C5F" w:rsidRDefault="00EA16F3">
          <w:pPr>
            <w:pStyle w:val="14"/>
            <w:rPr>
              <w:rFonts w:eastAsiaTheme="minorEastAsia"/>
              <w:noProof/>
              <w:lang w:eastAsia="el-GR"/>
            </w:rPr>
          </w:pPr>
          <w:hyperlink w:anchor="_Toc493323994" w:history="1">
            <w:r w:rsidR="001F2C5F" w:rsidRPr="00AE3D69">
              <w:rPr>
                <w:rStyle w:val="-"/>
                <w:rFonts w:cs="Times New Roman"/>
                <w:noProof/>
              </w:rPr>
              <w:t>Κεφάλαιο 3: Αποτελέσματα της Έρευνας</w:t>
            </w:r>
            <w:r w:rsidR="001F2C5F">
              <w:rPr>
                <w:noProof/>
                <w:webHidden/>
              </w:rPr>
              <w:tab/>
            </w:r>
            <w:r w:rsidR="001F2C5F">
              <w:rPr>
                <w:noProof/>
                <w:webHidden/>
              </w:rPr>
              <w:fldChar w:fldCharType="begin"/>
            </w:r>
            <w:r w:rsidR="001F2C5F">
              <w:rPr>
                <w:noProof/>
                <w:webHidden/>
              </w:rPr>
              <w:instrText xml:space="preserve"> PAGEREF _Toc493323994 \h </w:instrText>
            </w:r>
            <w:r w:rsidR="001F2C5F">
              <w:rPr>
                <w:noProof/>
                <w:webHidden/>
              </w:rPr>
            </w:r>
            <w:r w:rsidR="001F2C5F">
              <w:rPr>
                <w:noProof/>
                <w:webHidden/>
              </w:rPr>
              <w:fldChar w:fldCharType="separate"/>
            </w:r>
            <w:r w:rsidR="001136D4">
              <w:rPr>
                <w:noProof/>
                <w:webHidden/>
              </w:rPr>
              <w:t>46</w:t>
            </w:r>
            <w:r w:rsidR="001F2C5F">
              <w:rPr>
                <w:noProof/>
                <w:webHidden/>
              </w:rPr>
              <w:fldChar w:fldCharType="end"/>
            </w:r>
          </w:hyperlink>
        </w:p>
        <w:p w14:paraId="6764A335" w14:textId="3F3AB57B" w:rsidR="001F2C5F" w:rsidRDefault="00EA16F3">
          <w:pPr>
            <w:pStyle w:val="20"/>
            <w:tabs>
              <w:tab w:val="right" w:leader="dot" w:pos="8659"/>
            </w:tabs>
            <w:rPr>
              <w:rFonts w:eastAsiaTheme="minorEastAsia"/>
              <w:noProof/>
              <w:lang w:eastAsia="el-GR"/>
            </w:rPr>
          </w:pPr>
          <w:hyperlink w:anchor="_Toc493323995" w:history="1">
            <w:r w:rsidR="001F2C5F" w:rsidRPr="00AE3D69">
              <w:rPr>
                <w:rStyle w:val="-"/>
                <w:noProof/>
              </w:rPr>
              <w:t>3.1 Γενικές αναλύσεις</w:t>
            </w:r>
            <w:r w:rsidR="001F2C5F">
              <w:rPr>
                <w:noProof/>
                <w:webHidden/>
              </w:rPr>
              <w:tab/>
            </w:r>
            <w:r w:rsidR="001F2C5F">
              <w:rPr>
                <w:noProof/>
                <w:webHidden/>
              </w:rPr>
              <w:fldChar w:fldCharType="begin"/>
            </w:r>
            <w:r w:rsidR="001F2C5F">
              <w:rPr>
                <w:noProof/>
                <w:webHidden/>
              </w:rPr>
              <w:instrText xml:space="preserve"> PAGEREF _Toc493323995 \h </w:instrText>
            </w:r>
            <w:r w:rsidR="001F2C5F">
              <w:rPr>
                <w:noProof/>
                <w:webHidden/>
              </w:rPr>
            </w:r>
            <w:r w:rsidR="001F2C5F">
              <w:rPr>
                <w:noProof/>
                <w:webHidden/>
              </w:rPr>
              <w:fldChar w:fldCharType="separate"/>
            </w:r>
            <w:r w:rsidR="001136D4">
              <w:rPr>
                <w:noProof/>
                <w:webHidden/>
              </w:rPr>
              <w:t>46</w:t>
            </w:r>
            <w:r w:rsidR="001F2C5F">
              <w:rPr>
                <w:noProof/>
                <w:webHidden/>
              </w:rPr>
              <w:fldChar w:fldCharType="end"/>
            </w:r>
          </w:hyperlink>
        </w:p>
        <w:p w14:paraId="1AD61C35" w14:textId="64537AF7" w:rsidR="001F2C5F" w:rsidRDefault="00EA16F3">
          <w:pPr>
            <w:pStyle w:val="20"/>
            <w:tabs>
              <w:tab w:val="right" w:leader="dot" w:pos="8659"/>
            </w:tabs>
            <w:rPr>
              <w:rFonts w:eastAsiaTheme="minorEastAsia"/>
              <w:noProof/>
              <w:lang w:eastAsia="el-GR"/>
            </w:rPr>
          </w:pPr>
          <w:hyperlink w:anchor="_Toc493323996" w:history="1">
            <w:r w:rsidR="001F2C5F" w:rsidRPr="00AE3D69">
              <w:rPr>
                <w:rStyle w:val="-"/>
                <w:noProof/>
              </w:rPr>
              <w:t>3.2. Αναλύσεις αξιοπιστίας</w:t>
            </w:r>
            <w:r w:rsidR="001F2C5F">
              <w:rPr>
                <w:noProof/>
                <w:webHidden/>
              </w:rPr>
              <w:tab/>
            </w:r>
            <w:r w:rsidR="001F2C5F">
              <w:rPr>
                <w:noProof/>
                <w:webHidden/>
              </w:rPr>
              <w:fldChar w:fldCharType="begin"/>
            </w:r>
            <w:r w:rsidR="001F2C5F">
              <w:rPr>
                <w:noProof/>
                <w:webHidden/>
              </w:rPr>
              <w:instrText xml:space="preserve"> PAGEREF _Toc493323996 \h </w:instrText>
            </w:r>
            <w:r w:rsidR="001F2C5F">
              <w:rPr>
                <w:noProof/>
                <w:webHidden/>
              </w:rPr>
            </w:r>
            <w:r w:rsidR="001F2C5F">
              <w:rPr>
                <w:noProof/>
                <w:webHidden/>
              </w:rPr>
              <w:fldChar w:fldCharType="separate"/>
            </w:r>
            <w:r w:rsidR="001136D4">
              <w:rPr>
                <w:noProof/>
                <w:webHidden/>
              </w:rPr>
              <w:t>50</w:t>
            </w:r>
            <w:r w:rsidR="001F2C5F">
              <w:rPr>
                <w:noProof/>
                <w:webHidden/>
              </w:rPr>
              <w:fldChar w:fldCharType="end"/>
            </w:r>
          </w:hyperlink>
        </w:p>
        <w:p w14:paraId="2304E749" w14:textId="0E9788EC" w:rsidR="001F2C5F" w:rsidRDefault="00EA16F3">
          <w:pPr>
            <w:pStyle w:val="14"/>
            <w:rPr>
              <w:rFonts w:eastAsiaTheme="minorEastAsia"/>
              <w:noProof/>
              <w:lang w:eastAsia="el-GR"/>
            </w:rPr>
          </w:pPr>
          <w:hyperlink w:anchor="_Toc493323997" w:history="1">
            <w:r w:rsidR="001F2C5F" w:rsidRPr="00AE3D69">
              <w:rPr>
                <w:rStyle w:val="-"/>
                <w:rFonts w:cs="Times New Roman"/>
                <w:noProof/>
              </w:rPr>
              <w:t>Κεφάλαιο 4: Συμπεράσματα – Συζήτηση</w:t>
            </w:r>
            <w:r w:rsidR="001F2C5F">
              <w:rPr>
                <w:noProof/>
                <w:webHidden/>
              </w:rPr>
              <w:tab/>
            </w:r>
            <w:r w:rsidR="001F2C5F">
              <w:rPr>
                <w:noProof/>
                <w:webHidden/>
              </w:rPr>
              <w:fldChar w:fldCharType="begin"/>
            </w:r>
            <w:r w:rsidR="001F2C5F">
              <w:rPr>
                <w:noProof/>
                <w:webHidden/>
              </w:rPr>
              <w:instrText xml:space="preserve"> PAGEREF _Toc493323997 \h </w:instrText>
            </w:r>
            <w:r w:rsidR="001F2C5F">
              <w:rPr>
                <w:noProof/>
                <w:webHidden/>
              </w:rPr>
            </w:r>
            <w:r w:rsidR="001F2C5F">
              <w:rPr>
                <w:noProof/>
                <w:webHidden/>
              </w:rPr>
              <w:fldChar w:fldCharType="separate"/>
            </w:r>
            <w:r w:rsidR="001136D4">
              <w:rPr>
                <w:noProof/>
                <w:webHidden/>
              </w:rPr>
              <w:t>53</w:t>
            </w:r>
            <w:r w:rsidR="001F2C5F">
              <w:rPr>
                <w:noProof/>
                <w:webHidden/>
              </w:rPr>
              <w:fldChar w:fldCharType="end"/>
            </w:r>
          </w:hyperlink>
        </w:p>
        <w:p w14:paraId="0E29A0AF" w14:textId="5017EB40" w:rsidR="001F2C5F" w:rsidRDefault="00EA16F3">
          <w:pPr>
            <w:pStyle w:val="20"/>
            <w:tabs>
              <w:tab w:val="right" w:leader="dot" w:pos="8659"/>
            </w:tabs>
            <w:rPr>
              <w:rFonts w:eastAsiaTheme="minorEastAsia"/>
              <w:noProof/>
              <w:lang w:eastAsia="el-GR"/>
            </w:rPr>
          </w:pPr>
          <w:hyperlink w:anchor="_Toc493323998" w:history="1">
            <w:r w:rsidR="001F2C5F" w:rsidRPr="00AE3D69">
              <w:rPr>
                <w:rStyle w:val="-"/>
                <w:noProof/>
              </w:rPr>
              <w:t>4.1. Τα Συμπεράσματα</w:t>
            </w:r>
            <w:r w:rsidR="001F2C5F">
              <w:rPr>
                <w:noProof/>
                <w:webHidden/>
              </w:rPr>
              <w:tab/>
            </w:r>
            <w:r w:rsidR="001F2C5F">
              <w:rPr>
                <w:noProof/>
                <w:webHidden/>
              </w:rPr>
              <w:fldChar w:fldCharType="begin"/>
            </w:r>
            <w:r w:rsidR="001F2C5F">
              <w:rPr>
                <w:noProof/>
                <w:webHidden/>
              </w:rPr>
              <w:instrText xml:space="preserve"> PAGEREF _Toc493323998 \h </w:instrText>
            </w:r>
            <w:r w:rsidR="001F2C5F">
              <w:rPr>
                <w:noProof/>
                <w:webHidden/>
              </w:rPr>
            </w:r>
            <w:r w:rsidR="001F2C5F">
              <w:rPr>
                <w:noProof/>
                <w:webHidden/>
              </w:rPr>
              <w:fldChar w:fldCharType="separate"/>
            </w:r>
            <w:r w:rsidR="001136D4">
              <w:rPr>
                <w:noProof/>
                <w:webHidden/>
              </w:rPr>
              <w:t>53</w:t>
            </w:r>
            <w:r w:rsidR="001F2C5F">
              <w:rPr>
                <w:noProof/>
                <w:webHidden/>
              </w:rPr>
              <w:fldChar w:fldCharType="end"/>
            </w:r>
          </w:hyperlink>
        </w:p>
        <w:p w14:paraId="6E05FFC9" w14:textId="32C605D1" w:rsidR="001F2C5F" w:rsidRDefault="00EA16F3">
          <w:pPr>
            <w:pStyle w:val="20"/>
            <w:tabs>
              <w:tab w:val="right" w:leader="dot" w:pos="8659"/>
            </w:tabs>
            <w:rPr>
              <w:rFonts w:eastAsiaTheme="minorEastAsia"/>
              <w:noProof/>
              <w:lang w:eastAsia="el-GR"/>
            </w:rPr>
          </w:pPr>
          <w:hyperlink w:anchor="_Toc493323999" w:history="1">
            <w:r w:rsidR="001F2C5F" w:rsidRPr="00AE3D69">
              <w:rPr>
                <w:rStyle w:val="-"/>
                <w:noProof/>
              </w:rPr>
              <w:t>4.2 Συζήτηση</w:t>
            </w:r>
            <w:r w:rsidR="001F2C5F">
              <w:rPr>
                <w:noProof/>
                <w:webHidden/>
              </w:rPr>
              <w:tab/>
            </w:r>
            <w:r w:rsidR="001F2C5F">
              <w:rPr>
                <w:noProof/>
                <w:webHidden/>
              </w:rPr>
              <w:fldChar w:fldCharType="begin"/>
            </w:r>
            <w:r w:rsidR="001F2C5F">
              <w:rPr>
                <w:noProof/>
                <w:webHidden/>
              </w:rPr>
              <w:instrText xml:space="preserve"> PAGEREF _Toc493323999 \h </w:instrText>
            </w:r>
            <w:r w:rsidR="001F2C5F">
              <w:rPr>
                <w:noProof/>
                <w:webHidden/>
              </w:rPr>
            </w:r>
            <w:r w:rsidR="001F2C5F">
              <w:rPr>
                <w:noProof/>
                <w:webHidden/>
              </w:rPr>
              <w:fldChar w:fldCharType="separate"/>
            </w:r>
            <w:r w:rsidR="001136D4">
              <w:rPr>
                <w:noProof/>
                <w:webHidden/>
              </w:rPr>
              <w:t>53</w:t>
            </w:r>
            <w:r w:rsidR="001F2C5F">
              <w:rPr>
                <w:noProof/>
                <w:webHidden/>
              </w:rPr>
              <w:fldChar w:fldCharType="end"/>
            </w:r>
          </w:hyperlink>
        </w:p>
        <w:p w14:paraId="7732B448" w14:textId="02979529" w:rsidR="001F2C5F" w:rsidRDefault="00EA16F3">
          <w:pPr>
            <w:pStyle w:val="14"/>
            <w:rPr>
              <w:rFonts w:eastAsiaTheme="minorEastAsia"/>
              <w:noProof/>
              <w:lang w:eastAsia="el-GR"/>
            </w:rPr>
          </w:pPr>
          <w:hyperlink w:anchor="_Toc493324000" w:history="1">
            <w:r w:rsidR="001F2C5F" w:rsidRPr="00AE3D69">
              <w:rPr>
                <w:rStyle w:val="-"/>
                <w:rFonts w:cs="Times New Roman"/>
                <w:noProof/>
              </w:rPr>
              <w:t>Ελληνική Βιβλιογραφία</w:t>
            </w:r>
            <w:r w:rsidR="001F2C5F">
              <w:rPr>
                <w:noProof/>
                <w:webHidden/>
              </w:rPr>
              <w:tab/>
            </w:r>
            <w:r w:rsidR="001F2C5F">
              <w:rPr>
                <w:noProof/>
                <w:webHidden/>
              </w:rPr>
              <w:fldChar w:fldCharType="begin"/>
            </w:r>
            <w:r w:rsidR="001F2C5F">
              <w:rPr>
                <w:noProof/>
                <w:webHidden/>
              </w:rPr>
              <w:instrText xml:space="preserve"> PAGEREF _Toc493324000 \h </w:instrText>
            </w:r>
            <w:r w:rsidR="001F2C5F">
              <w:rPr>
                <w:noProof/>
                <w:webHidden/>
              </w:rPr>
            </w:r>
            <w:r w:rsidR="001F2C5F">
              <w:rPr>
                <w:noProof/>
                <w:webHidden/>
              </w:rPr>
              <w:fldChar w:fldCharType="separate"/>
            </w:r>
            <w:r w:rsidR="001136D4">
              <w:rPr>
                <w:noProof/>
                <w:webHidden/>
              </w:rPr>
              <w:t>56</w:t>
            </w:r>
            <w:r w:rsidR="001F2C5F">
              <w:rPr>
                <w:noProof/>
                <w:webHidden/>
              </w:rPr>
              <w:fldChar w:fldCharType="end"/>
            </w:r>
          </w:hyperlink>
        </w:p>
        <w:p w14:paraId="6F3B2E82" w14:textId="2ED99CE3" w:rsidR="001F2C5F" w:rsidRDefault="00EA16F3">
          <w:pPr>
            <w:pStyle w:val="14"/>
            <w:rPr>
              <w:rFonts w:eastAsiaTheme="minorEastAsia"/>
              <w:noProof/>
              <w:lang w:eastAsia="el-GR"/>
            </w:rPr>
          </w:pPr>
          <w:hyperlink w:anchor="_Toc493324001" w:history="1">
            <w:r w:rsidR="001F2C5F" w:rsidRPr="00AE3D69">
              <w:rPr>
                <w:rStyle w:val="-"/>
                <w:rFonts w:cs="Times New Roman"/>
                <w:noProof/>
              </w:rPr>
              <w:t>Ξένη Βιβλιογραφία</w:t>
            </w:r>
            <w:r w:rsidR="001F2C5F">
              <w:rPr>
                <w:noProof/>
                <w:webHidden/>
              </w:rPr>
              <w:tab/>
            </w:r>
            <w:r w:rsidR="001F2C5F">
              <w:rPr>
                <w:noProof/>
                <w:webHidden/>
              </w:rPr>
              <w:fldChar w:fldCharType="begin"/>
            </w:r>
            <w:r w:rsidR="001F2C5F">
              <w:rPr>
                <w:noProof/>
                <w:webHidden/>
              </w:rPr>
              <w:instrText xml:space="preserve"> PAGEREF _Toc493324001 \h </w:instrText>
            </w:r>
            <w:r w:rsidR="001F2C5F">
              <w:rPr>
                <w:noProof/>
                <w:webHidden/>
              </w:rPr>
            </w:r>
            <w:r w:rsidR="001F2C5F">
              <w:rPr>
                <w:noProof/>
                <w:webHidden/>
              </w:rPr>
              <w:fldChar w:fldCharType="separate"/>
            </w:r>
            <w:r w:rsidR="001136D4">
              <w:rPr>
                <w:noProof/>
                <w:webHidden/>
              </w:rPr>
              <w:t>57</w:t>
            </w:r>
            <w:r w:rsidR="001F2C5F">
              <w:rPr>
                <w:noProof/>
                <w:webHidden/>
              </w:rPr>
              <w:fldChar w:fldCharType="end"/>
            </w:r>
          </w:hyperlink>
        </w:p>
        <w:p w14:paraId="4C7410E9" w14:textId="61649ACB" w:rsidR="001F2C5F" w:rsidRDefault="00EA16F3">
          <w:pPr>
            <w:pStyle w:val="14"/>
            <w:rPr>
              <w:rFonts w:eastAsiaTheme="minorEastAsia"/>
              <w:noProof/>
              <w:lang w:eastAsia="el-GR"/>
            </w:rPr>
          </w:pPr>
          <w:hyperlink w:anchor="_Toc493324002" w:history="1">
            <w:r w:rsidR="001F2C5F" w:rsidRPr="00AE3D69">
              <w:rPr>
                <w:rStyle w:val="-"/>
                <w:rFonts w:cs="Times New Roman"/>
                <w:noProof/>
              </w:rPr>
              <w:t>Βιβλιογραφία Άρθρων</w:t>
            </w:r>
            <w:r w:rsidR="001F2C5F">
              <w:rPr>
                <w:noProof/>
                <w:webHidden/>
              </w:rPr>
              <w:tab/>
            </w:r>
            <w:r w:rsidR="001F2C5F">
              <w:rPr>
                <w:noProof/>
                <w:webHidden/>
              </w:rPr>
              <w:fldChar w:fldCharType="begin"/>
            </w:r>
            <w:r w:rsidR="001F2C5F">
              <w:rPr>
                <w:noProof/>
                <w:webHidden/>
              </w:rPr>
              <w:instrText xml:space="preserve"> PAGEREF _Toc493324002 \h </w:instrText>
            </w:r>
            <w:r w:rsidR="001F2C5F">
              <w:rPr>
                <w:noProof/>
                <w:webHidden/>
              </w:rPr>
            </w:r>
            <w:r w:rsidR="001F2C5F">
              <w:rPr>
                <w:noProof/>
                <w:webHidden/>
              </w:rPr>
              <w:fldChar w:fldCharType="separate"/>
            </w:r>
            <w:r w:rsidR="001136D4">
              <w:rPr>
                <w:noProof/>
                <w:webHidden/>
              </w:rPr>
              <w:t>58</w:t>
            </w:r>
            <w:r w:rsidR="001F2C5F">
              <w:rPr>
                <w:noProof/>
                <w:webHidden/>
              </w:rPr>
              <w:fldChar w:fldCharType="end"/>
            </w:r>
          </w:hyperlink>
        </w:p>
        <w:p w14:paraId="1BB992D6" w14:textId="5C923D91" w:rsidR="001F2C5F" w:rsidRDefault="00EA16F3">
          <w:pPr>
            <w:pStyle w:val="14"/>
            <w:rPr>
              <w:rFonts w:eastAsiaTheme="minorEastAsia"/>
              <w:noProof/>
              <w:lang w:eastAsia="el-GR"/>
            </w:rPr>
          </w:pPr>
          <w:hyperlink w:anchor="_Toc493324003" w:history="1">
            <w:r w:rsidR="001F2C5F" w:rsidRPr="00AE3D69">
              <w:rPr>
                <w:rStyle w:val="-"/>
                <w:rFonts w:cs="Times New Roman"/>
                <w:noProof/>
              </w:rPr>
              <w:t>Βιβλιογραφία Διαδίκτυου</w:t>
            </w:r>
            <w:r w:rsidR="001F2C5F">
              <w:rPr>
                <w:noProof/>
                <w:webHidden/>
              </w:rPr>
              <w:tab/>
            </w:r>
            <w:r w:rsidR="001F2C5F">
              <w:rPr>
                <w:noProof/>
                <w:webHidden/>
              </w:rPr>
              <w:fldChar w:fldCharType="begin"/>
            </w:r>
            <w:r w:rsidR="001F2C5F">
              <w:rPr>
                <w:noProof/>
                <w:webHidden/>
              </w:rPr>
              <w:instrText xml:space="preserve"> PAGEREF _Toc493324003 \h </w:instrText>
            </w:r>
            <w:r w:rsidR="001F2C5F">
              <w:rPr>
                <w:noProof/>
                <w:webHidden/>
              </w:rPr>
            </w:r>
            <w:r w:rsidR="001F2C5F">
              <w:rPr>
                <w:noProof/>
                <w:webHidden/>
              </w:rPr>
              <w:fldChar w:fldCharType="separate"/>
            </w:r>
            <w:r w:rsidR="001136D4">
              <w:rPr>
                <w:noProof/>
                <w:webHidden/>
              </w:rPr>
              <w:t>60</w:t>
            </w:r>
            <w:r w:rsidR="001F2C5F">
              <w:rPr>
                <w:noProof/>
                <w:webHidden/>
              </w:rPr>
              <w:fldChar w:fldCharType="end"/>
            </w:r>
          </w:hyperlink>
        </w:p>
        <w:p w14:paraId="67AD370C" w14:textId="55266E17" w:rsidR="006F25E1" w:rsidRPr="006F25E1" w:rsidRDefault="00DE6A4C">
          <w:pPr>
            <w:rPr>
              <w:lang w:val="el-GR"/>
            </w:rPr>
          </w:pPr>
          <w:r w:rsidRPr="006F25E1">
            <w:rPr>
              <w:lang w:val="el-GR"/>
            </w:rPr>
            <w:fldChar w:fldCharType="end"/>
          </w:r>
        </w:p>
      </w:sdtContent>
    </w:sdt>
    <w:p w14:paraId="7B25ACE2" w14:textId="77777777" w:rsidR="00DF56AF" w:rsidRDefault="00DF56AF">
      <w:pPr>
        <w:spacing w:line="360" w:lineRule="auto"/>
        <w:jc w:val="both"/>
        <w:rPr>
          <w:b/>
          <w:sz w:val="32"/>
          <w:lang w:val="el-GR"/>
        </w:rPr>
        <w:sectPr w:rsidR="00DF56AF" w:rsidSect="00890AC7">
          <w:footerReference w:type="default" r:id="rId10"/>
          <w:pgSz w:w="11906" w:h="16838"/>
          <w:pgMar w:top="1440" w:right="1440" w:bottom="1440" w:left="1797" w:header="0" w:footer="0" w:gutter="0"/>
          <w:pgNumType w:fmt="upperRoman" w:start="5"/>
          <w:cols w:space="708"/>
          <w:formProt w:val="0"/>
          <w:docGrid w:linePitch="360" w:charSpace="-2049"/>
        </w:sectPr>
      </w:pPr>
    </w:p>
    <w:p w14:paraId="6F665F06" w14:textId="77777777" w:rsidR="000264BA" w:rsidRPr="00CC4CE4" w:rsidRDefault="000264BA">
      <w:pPr>
        <w:spacing w:line="360" w:lineRule="auto"/>
        <w:jc w:val="both"/>
        <w:rPr>
          <w:b/>
          <w:sz w:val="32"/>
          <w:lang w:val="el-GR"/>
        </w:rPr>
      </w:pPr>
    </w:p>
    <w:p w14:paraId="45584C03" w14:textId="77777777" w:rsidR="00146CE2" w:rsidRPr="00CD6BE2" w:rsidRDefault="00DB0AA3" w:rsidP="006F25E1">
      <w:pPr>
        <w:pStyle w:val="1"/>
        <w:spacing w:before="0" w:after="120" w:line="360" w:lineRule="auto"/>
        <w:rPr>
          <w:rFonts w:cs="Times New Roman"/>
          <w:b w:val="0"/>
          <w:lang w:val="el-GR"/>
        </w:rPr>
      </w:pPr>
      <w:bookmarkStart w:id="8" w:name="_Toc493323955"/>
      <w:r w:rsidRPr="00CD6BE2">
        <w:rPr>
          <w:rFonts w:cs="Times New Roman"/>
          <w:lang w:val="el-GR"/>
        </w:rPr>
        <w:t>Κεφάλαιο 1: Εισαγωγικά στοιχεία</w:t>
      </w:r>
      <w:bookmarkEnd w:id="8"/>
    </w:p>
    <w:p w14:paraId="6768D90B" w14:textId="77777777" w:rsidR="00146CE2" w:rsidRPr="00BF0161" w:rsidRDefault="00DB0AA3" w:rsidP="001D55EA">
      <w:pPr>
        <w:spacing w:after="120" w:line="360" w:lineRule="auto"/>
        <w:jc w:val="both"/>
        <w:rPr>
          <w:lang w:val="el-GR"/>
        </w:rPr>
      </w:pPr>
      <w:r w:rsidRPr="00BF0161">
        <w:rPr>
          <w:lang w:val="el-GR"/>
        </w:rPr>
        <w:t>Η σίτιση και η πόση αποτελούν δύο από τις βασικές αρχέγονες ανάγκες του ανθρώπινου είδους. Μιας και είναι ένα αναπόσπαστο κομμάτι της καθημερινής μας ζωής, οποιαδήποτε προβλήματα τις επηρεάζουν, θα πρέπει να αντιμετωπίζονται με την απαραίτητη προσοχή.</w:t>
      </w:r>
    </w:p>
    <w:p w14:paraId="3C5B5F8D" w14:textId="77777777" w:rsidR="00BF0161" w:rsidRDefault="00DB0AA3" w:rsidP="001D55EA">
      <w:pPr>
        <w:spacing w:after="120" w:line="360" w:lineRule="auto"/>
        <w:jc w:val="both"/>
        <w:rPr>
          <w:lang w:val="el-GR"/>
        </w:rPr>
      </w:pPr>
      <w:r w:rsidRPr="00BF0161">
        <w:rPr>
          <w:lang w:val="el-GR"/>
        </w:rPr>
        <w:t>Ήδη από τα τέλη του 19</w:t>
      </w:r>
      <w:r w:rsidRPr="00BF0161">
        <w:rPr>
          <w:vertAlign w:val="superscript"/>
          <w:lang w:val="el-GR"/>
        </w:rPr>
        <w:t>ου</w:t>
      </w:r>
      <w:r w:rsidRPr="00BF0161">
        <w:rPr>
          <w:lang w:val="el-GR"/>
        </w:rPr>
        <w:t xml:space="preserve"> αιώνα ξεκίνησε η μελέτη των δομών της μάσησης, της οδοντικής σύγκλισης και των στοματοπροσωπικών λειτουργιών (</w:t>
      </w:r>
      <w:proofErr w:type="spellStart"/>
      <w:r>
        <w:rPr>
          <w:lang w:val="en-US"/>
        </w:rPr>
        <w:t>Bigenzahn</w:t>
      </w:r>
      <w:proofErr w:type="spellEnd"/>
      <w:r w:rsidRPr="00BF0161">
        <w:rPr>
          <w:lang w:val="el-GR"/>
        </w:rPr>
        <w:t xml:space="preserve"> &amp; </w:t>
      </w:r>
      <w:proofErr w:type="spellStart"/>
      <w:r>
        <w:rPr>
          <w:lang w:val="en-US"/>
        </w:rPr>
        <w:t>Denk</w:t>
      </w:r>
      <w:proofErr w:type="spellEnd"/>
      <w:r w:rsidRPr="00BF0161">
        <w:rPr>
          <w:lang w:val="el-GR"/>
        </w:rPr>
        <w:t>, 2007). Το 1930 και 1940, ο ιατρικός κλάδος ασχολήθηκε με τις διαταραχές κατάποσης αρχικά ως απόρροια της εγκεφαλικής παράλυσης (</w:t>
      </w:r>
      <w:proofErr w:type="spellStart"/>
      <w:r w:rsidRPr="00BF0161">
        <w:rPr>
          <w:lang w:val="el-GR"/>
        </w:rPr>
        <w:t>Πρώιου</w:t>
      </w:r>
      <w:proofErr w:type="spellEnd"/>
      <w:r w:rsidRPr="00BF0161">
        <w:rPr>
          <w:lang w:val="el-GR"/>
        </w:rPr>
        <w:t xml:space="preserve">, 2003, </w:t>
      </w:r>
      <w:proofErr w:type="spellStart"/>
      <w:r>
        <w:rPr>
          <w:lang w:val="en-US"/>
        </w:rPr>
        <w:t>Groher</w:t>
      </w:r>
      <w:proofErr w:type="spellEnd"/>
      <w:r w:rsidRPr="00BF0161">
        <w:rPr>
          <w:lang w:val="el-GR"/>
        </w:rPr>
        <w:t xml:space="preserve"> &amp; </w:t>
      </w:r>
      <w:proofErr w:type="spellStart"/>
      <w:r>
        <w:rPr>
          <w:lang w:val="en-US"/>
        </w:rPr>
        <w:t>Crary</w:t>
      </w:r>
      <w:proofErr w:type="spellEnd"/>
      <w:r w:rsidRPr="00BF0161">
        <w:rPr>
          <w:lang w:val="el-GR"/>
        </w:rPr>
        <w:t xml:space="preserve">, 2015). </w:t>
      </w:r>
      <w:r>
        <w:rPr>
          <w:lang w:val="en-US"/>
        </w:rPr>
        <w:t>O</w:t>
      </w:r>
      <w:r w:rsidRPr="00BF0161">
        <w:rPr>
          <w:lang w:val="el-GR"/>
        </w:rPr>
        <w:t xml:space="preserve"> </w:t>
      </w:r>
      <w:proofErr w:type="spellStart"/>
      <w:r>
        <w:rPr>
          <w:lang w:val="en-US"/>
        </w:rPr>
        <w:t>Groher</w:t>
      </w:r>
      <w:proofErr w:type="spellEnd"/>
      <w:r w:rsidRPr="00BF0161">
        <w:rPr>
          <w:lang w:val="el-GR"/>
        </w:rPr>
        <w:t xml:space="preserve"> (1997) χαρακτηριστικά αναφέρει ότι, πριν από την δεκαετία του 1970 σε ασθενείς με τέτοιου είδους δυσκολίες, εφαρμόζονταν τεχνικές παρέμβασης, όπως </w:t>
      </w:r>
      <w:proofErr w:type="spellStart"/>
      <w:r w:rsidRPr="00BF0161">
        <w:rPr>
          <w:lang w:val="el-GR"/>
        </w:rPr>
        <w:t>γαστροστομία</w:t>
      </w:r>
      <w:proofErr w:type="spellEnd"/>
      <w:r w:rsidRPr="00BF0161">
        <w:rPr>
          <w:lang w:val="el-GR"/>
        </w:rPr>
        <w:t xml:space="preserve"> ή </w:t>
      </w:r>
      <w:proofErr w:type="spellStart"/>
      <w:r w:rsidRPr="00BF0161">
        <w:rPr>
          <w:lang w:val="el-GR"/>
        </w:rPr>
        <w:t>ρινογαστρικός</w:t>
      </w:r>
      <w:proofErr w:type="spellEnd"/>
      <w:r w:rsidRPr="00BF0161">
        <w:rPr>
          <w:lang w:val="el-GR"/>
        </w:rPr>
        <w:t xml:space="preserve"> σωλήνας, χωρίς ιδιαίτερες προσπάθειες για σίτιση μέσω της στοματικής οδού, λόγω άγνοιας κυρίως των κλινικών επιστημόνων. Επίσης, σημειώνει την έλλειψη εξειδικευμένων θεραπευτών στον τομέα της σίτισης και της κατάποσης. Πλέον, η αντιμετώπιση της δυσφαγίας αποτελεί αντικείμενο των λογοθεραπευτών.</w:t>
      </w:r>
    </w:p>
    <w:p w14:paraId="186D74EC" w14:textId="77777777" w:rsidR="00BF0161" w:rsidRDefault="00BF0161" w:rsidP="00BF0161">
      <w:pPr>
        <w:spacing w:after="120" w:line="360" w:lineRule="auto"/>
        <w:jc w:val="both"/>
        <w:rPr>
          <w:lang w:val="el-GR"/>
        </w:rPr>
      </w:pPr>
    </w:p>
    <w:p w14:paraId="3A2B4D43" w14:textId="77777777" w:rsidR="00146CE2" w:rsidRPr="00456D14" w:rsidRDefault="00DB0AA3" w:rsidP="00CD6BE2">
      <w:pPr>
        <w:pStyle w:val="2"/>
        <w:spacing w:line="360" w:lineRule="auto"/>
        <w:rPr>
          <w:rFonts w:cs="Times New Roman"/>
          <w:b/>
          <w:sz w:val="28"/>
        </w:rPr>
      </w:pPr>
      <w:bookmarkStart w:id="9" w:name="_Toc493323956"/>
      <w:r w:rsidRPr="00456D14">
        <w:rPr>
          <w:rFonts w:cs="Times New Roman"/>
          <w:b/>
          <w:sz w:val="28"/>
        </w:rPr>
        <w:t>1. 1 Ανατομία και φυσιολογία δομών κατάποσης</w:t>
      </w:r>
      <w:bookmarkEnd w:id="9"/>
    </w:p>
    <w:p w14:paraId="2A3FE0C7" w14:textId="77777777" w:rsidR="007D60E0" w:rsidRDefault="007D60E0">
      <w:pPr>
        <w:spacing w:after="120" w:line="360" w:lineRule="auto"/>
        <w:jc w:val="both"/>
        <w:rPr>
          <w:b/>
          <w:lang w:val="el-GR"/>
        </w:rPr>
      </w:pPr>
    </w:p>
    <w:p w14:paraId="6F9EF92C" w14:textId="77777777" w:rsidR="00146CE2" w:rsidRPr="00BF0161" w:rsidRDefault="00DB0AA3">
      <w:pPr>
        <w:spacing w:after="120" w:line="360" w:lineRule="auto"/>
        <w:jc w:val="both"/>
        <w:rPr>
          <w:b/>
          <w:lang w:val="el-GR"/>
        </w:rPr>
      </w:pPr>
      <w:r w:rsidRPr="00BF0161">
        <w:rPr>
          <w:b/>
          <w:lang w:val="el-GR"/>
        </w:rPr>
        <w:t>1.1.1 Ανατομία και φυσιολογία στοματικής κοιλότητας</w:t>
      </w:r>
    </w:p>
    <w:p w14:paraId="40CA06BE" w14:textId="77777777" w:rsidR="00146CE2" w:rsidRPr="00BF0161" w:rsidRDefault="00DB0AA3">
      <w:pPr>
        <w:spacing w:after="120" w:line="360" w:lineRule="auto"/>
        <w:jc w:val="both"/>
        <w:rPr>
          <w:lang w:val="el-GR"/>
        </w:rPr>
      </w:pPr>
      <w:r w:rsidRPr="00BF0161">
        <w:rPr>
          <w:lang w:val="el-GR"/>
        </w:rPr>
        <w:t>Τα όρια της στοματικής κοιλότητας εκτείνονται προς τα εμπρός από τα χείλη, προς τα πίσω από τις πρόσθιες παρίσθμιες καμάρες, προς τα κάτω από το έδαφος του στόματος και προς τα πάνω από την σκληρή και μαλθακή υπερώα (</w:t>
      </w:r>
      <w:proofErr w:type="spellStart"/>
      <w:r w:rsidRPr="00BF0161">
        <w:rPr>
          <w:lang w:val="el-GR"/>
        </w:rPr>
        <w:t>Ζιάβρα</w:t>
      </w:r>
      <w:proofErr w:type="spellEnd"/>
      <w:r w:rsidRPr="00BF0161">
        <w:rPr>
          <w:lang w:val="el-GR"/>
        </w:rPr>
        <w:t xml:space="preserve"> &amp; Σκεύας, 2003). Απαρτίζεται από τις παρακάτω δομές: χείλη, παρειές, δόντια, κάτω γνάθος, γλώσσα, σκληρή και μαλθακή υπερώα (</w:t>
      </w:r>
      <w:r>
        <w:rPr>
          <w:lang w:val="en-US"/>
        </w:rPr>
        <w:t>McFarland</w:t>
      </w:r>
      <w:r w:rsidRPr="00BF0161">
        <w:rPr>
          <w:lang w:val="el-GR"/>
        </w:rPr>
        <w:t xml:space="preserve">, 2011). </w:t>
      </w:r>
    </w:p>
    <w:p w14:paraId="2171874F" w14:textId="77777777" w:rsidR="00146CE2" w:rsidRPr="00BF0161" w:rsidRDefault="00DB0AA3">
      <w:pPr>
        <w:spacing w:after="120" w:line="360" w:lineRule="auto"/>
        <w:jc w:val="both"/>
        <w:rPr>
          <w:lang w:val="el-GR"/>
        </w:rPr>
      </w:pPr>
      <w:r w:rsidRPr="00BF0161">
        <w:rPr>
          <w:lang w:val="el-GR"/>
        </w:rPr>
        <w:t xml:space="preserve">Τα χείλη αποτελούν την πρόσθια έξω μοίρα της στοματικής κοιλότητας και είναι σημαντικά για την παραγωγή της φωνής, τη μάσηση και κατάποση. Η εξωτερική επιφάνεια των χειλιών καλύπτεται από δέρμα, ενώ η εσωτερική επιφάνεια από </w:t>
      </w:r>
      <w:proofErr w:type="spellStart"/>
      <w:r w:rsidRPr="00BF0161">
        <w:rPr>
          <w:lang w:val="el-GR"/>
        </w:rPr>
        <w:t>βλεννογόνια</w:t>
      </w:r>
      <w:proofErr w:type="spellEnd"/>
      <w:r w:rsidRPr="00BF0161">
        <w:rPr>
          <w:lang w:val="el-GR"/>
        </w:rPr>
        <w:t xml:space="preserve"> μεμβράνη. Ο ιστός μεταξύ αυτών των δύο στοιβάδων (έσω και έξω) είναι μυϊκός, λιπώδεις και αδενικός (</w:t>
      </w:r>
      <w:r>
        <w:rPr>
          <w:lang w:val="en-US"/>
        </w:rPr>
        <w:t>McFarland</w:t>
      </w:r>
      <w:r w:rsidRPr="00BF0161">
        <w:rPr>
          <w:lang w:val="el-GR"/>
        </w:rPr>
        <w:t xml:space="preserve">, 2011). Η κάθε παρειά αποτελείται από μυϊκό υπόστρωμα και λίπος, που </w:t>
      </w:r>
      <w:r w:rsidRPr="00BF0161">
        <w:rPr>
          <w:lang w:val="el-GR"/>
        </w:rPr>
        <w:lastRenderedPageBreak/>
        <w:t xml:space="preserve">από έξω καλύπτεται από δέρμα και από μέσα από βλεννογόνο (Γκούμας, 2012). </w:t>
      </w:r>
    </w:p>
    <w:p w14:paraId="1B60A4D6" w14:textId="77777777" w:rsidR="00146CE2" w:rsidRPr="00BF0161" w:rsidRDefault="00DB0AA3">
      <w:pPr>
        <w:spacing w:after="120" w:line="360" w:lineRule="auto"/>
        <w:jc w:val="both"/>
        <w:rPr>
          <w:lang w:val="el-GR"/>
        </w:rPr>
      </w:pPr>
      <w:r w:rsidRPr="00BF0161">
        <w:rPr>
          <w:lang w:val="el-GR"/>
        </w:rPr>
        <w:t xml:space="preserve">Τα δόντια αναπτύσσονται και αναδύονται από το φατνιακό οστό στην άνω και κάτω γνάθο. Τα φατνία των </w:t>
      </w:r>
      <w:proofErr w:type="spellStart"/>
      <w:r w:rsidRPr="00BF0161">
        <w:rPr>
          <w:lang w:val="el-GR"/>
        </w:rPr>
        <w:t>οδόντων</w:t>
      </w:r>
      <w:proofErr w:type="spellEnd"/>
      <w:r w:rsidRPr="00BF0161">
        <w:rPr>
          <w:lang w:val="el-GR"/>
        </w:rPr>
        <w:t xml:space="preserve"> καλύπτονται εξωτερικά από ούλα (</w:t>
      </w:r>
      <w:r>
        <w:rPr>
          <w:lang w:val="en-US"/>
        </w:rPr>
        <w:t>McFarland</w:t>
      </w:r>
      <w:r w:rsidRPr="00BF0161">
        <w:rPr>
          <w:lang w:val="el-GR"/>
        </w:rPr>
        <w:t>, 2011). Υπάρχουν δύο γενεές δοντιών, τα νεογιλά και τα μόνιμα. Ο νεογιλός φραγμός έχει 20 δόντια, ενώ ο μόνιμος 32 (Γκούμας, 2012).</w:t>
      </w:r>
    </w:p>
    <w:p w14:paraId="65A075FD" w14:textId="77777777" w:rsidR="00146CE2" w:rsidRPr="00BF0161" w:rsidRDefault="00DB0AA3">
      <w:pPr>
        <w:spacing w:after="120" w:line="360" w:lineRule="auto"/>
        <w:jc w:val="both"/>
        <w:rPr>
          <w:lang w:val="el-GR"/>
        </w:rPr>
      </w:pPr>
      <w:r w:rsidRPr="00BF0161">
        <w:rPr>
          <w:lang w:val="el-GR"/>
        </w:rPr>
        <w:t>Η γλώσσα αποτελεί εξαιρετικά ευκίνητο και χρήσιμο όργανο για την εκτέλεση διάφορων λειτουργιών, όπως της μάσησης, της κατάποσης, της αφής, της γεύσης και βέβαια της ομιλίας. Αποτελείται σχεδόν αποκλειστικά από μυϊκές ίνες, με πολλαπλές κατευθύνσεις (Παπαδοπούλου, 2014). Εμφανίζει τρία μέρη: την κορυφή, το σώμα και τη βάση. Τα δύο πρώτα αποτελούν την στοματική μοίρα της γλώσσας, ενώ η βάση την φαρυγγική μοίρα (Γκούμας, 2012). Η κάτω επιφάνεια της γλώσσας στη μέση γραμμή, εμφανίζει μία επιμήκη πτυχή, τον χαλινό. Η άνω επιφάνεια καλύπτεται από γευστικούς κάλυκες και συγκεκριμένα στην κορυφή, τα πλάγια και το πίσω μέρος της (</w:t>
      </w:r>
      <w:proofErr w:type="spellStart"/>
      <w:r w:rsidRPr="00BF0161">
        <w:rPr>
          <w:lang w:val="el-GR"/>
        </w:rPr>
        <w:t>Ζιάβρα</w:t>
      </w:r>
      <w:proofErr w:type="spellEnd"/>
      <w:r w:rsidRPr="00BF0161">
        <w:rPr>
          <w:lang w:val="el-GR"/>
        </w:rPr>
        <w:t xml:space="preserve"> &amp; Σκεύας, 2003).</w:t>
      </w:r>
    </w:p>
    <w:p w14:paraId="57DB595A" w14:textId="77777777" w:rsidR="00146CE2" w:rsidRPr="00BF0161" w:rsidRDefault="00DB0AA3">
      <w:pPr>
        <w:spacing w:after="120" w:line="360" w:lineRule="auto"/>
        <w:jc w:val="both"/>
        <w:rPr>
          <w:lang w:val="el-GR"/>
        </w:rPr>
      </w:pPr>
      <w:r w:rsidRPr="00BF0161">
        <w:rPr>
          <w:lang w:val="el-GR"/>
        </w:rPr>
        <w:lastRenderedPageBreak/>
        <w:t xml:space="preserve">Η υπερώα έχει δύο μοίρες: τη σκληρή και τη μαλθακή. Η σκληρή υπερώα σχηματίζεται από τις υπερώιες αποφύσεις της άνω γνάθου και τα υπερώια οστά. Η μαλθακή υπερώα σχηματίζεται από μύες (τον </w:t>
      </w:r>
      <w:proofErr w:type="spellStart"/>
      <w:r w:rsidRPr="00BF0161">
        <w:rPr>
          <w:lang w:val="el-GR"/>
        </w:rPr>
        <w:t>διατείνοντα</w:t>
      </w:r>
      <w:proofErr w:type="spellEnd"/>
      <w:r w:rsidRPr="00BF0161">
        <w:rPr>
          <w:lang w:val="el-GR"/>
        </w:rPr>
        <w:t xml:space="preserve">, τον </w:t>
      </w:r>
      <w:proofErr w:type="spellStart"/>
      <w:r w:rsidRPr="00BF0161">
        <w:rPr>
          <w:lang w:val="el-GR"/>
        </w:rPr>
        <w:t>ανελκτήρα</w:t>
      </w:r>
      <w:proofErr w:type="spellEnd"/>
      <w:r w:rsidRPr="00BF0161">
        <w:rPr>
          <w:lang w:val="el-GR"/>
        </w:rPr>
        <w:t xml:space="preserve">, τον σταφυλίτη, τον </w:t>
      </w:r>
      <w:proofErr w:type="spellStart"/>
      <w:r w:rsidRPr="00BF0161">
        <w:rPr>
          <w:lang w:val="el-GR"/>
        </w:rPr>
        <w:t>γλωσσοϋπερώιο</w:t>
      </w:r>
      <w:proofErr w:type="spellEnd"/>
      <w:r w:rsidRPr="00BF0161">
        <w:rPr>
          <w:lang w:val="el-GR"/>
        </w:rPr>
        <w:t xml:space="preserve"> και τον </w:t>
      </w:r>
      <w:proofErr w:type="spellStart"/>
      <w:r w:rsidRPr="00BF0161">
        <w:rPr>
          <w:lang w:val="el-GR"/>
        </w:rPr>
        <w:t>φαρυγγοϋπερώιο</w:t>
      </w:r>
      <w:proofErr w:type="spellEnd"/>
      <w:r w:rsidRPr="00BF0161">
        <w:rPr>
          <w:lang w:val="el-GR"/>
        </w:rPr>
        <w:t>) και καλύπτεται από λεπτό βλεννογόνο. Στο πίσω άκρο της, η μαλθακή υπερώα καταλήγει στην σταφυλή (Γκούμας, 2012).</w:t>
      </w:r>
    </w:p>
    <w:p w14:paraId="14FFC7DC" w14:textId="77777777" w:rsidR="00146CE2" w:rsidRPr="00BF0161" w:rsidRDefault="00DB0AA3">
      <w:pPr>
        <w:spacing w:after="120" w:line="360" w:lineRule="auto"/>
        <w:jc w:val="both"/>
        <w:rPr>
          <w:lang w:val="el-GR"/>
        </w:rPr>
      </w:pPr>
      <w:r w:rsidRPr="00BF0161">
        <w:rPr>
          <w:lang w:val="el-GR"/>
        </w:rPr>
        <w:t xml:space="preserve">Οι κύριες λειτουργίες της στοματικής κοιλότητας είναι η αναπνοή και η μάσηση-κατάποση, οι δευτερεύουσες είναι η άρθρωση και η φώνηση και κάποιες επιπλέον, μη ειδικές λειτουργίες για την </w:t>
      </w:r>
      <w:proofErr w:type="spellStart"/>
      <w:r w:rsidRPr="00BF0161">
        <w:rPr>
          <w:lang w:val="el-GR"/>
        </w:rPr>
        <w:t>εξωλεκτική</w:t>
      </w:r>
      <w:proofErr w:type="spellEnd"/>
      <w:r w:rsidRPr="00BF0161">
        <w:rPr>
          <w:lang w:val="el-GR"/>
        </w:rPr>
        <w:t xml:space="preserve"> επικοινωνία πχ. μίμηση, μορφασμοί.</w:t>
      </w:r>
    </w:p>
    <w:p w14:paraId="33A3078F" w14:textId="77777777" w:rsidR="00146CE2" w:rsidRPr="00BF0161" w:rsidRDefault="00146CE2">
      <w:pPr>
        <w:spacing w:after="120" w:line="360" w:lineRule="auto"/>
        <w:jc w:val="both"/>
        <w:rPr>
          <w:b/>
          <w:sz w:val="28"/>
          <w:lang w:val="el-GR"/>
        </w:rPr>
      </w:pPr>
    </w:p>
    <w:p w14:paraId="1065BB1D" w14:textId="77777777" w:rsidR="00146CE2" w:rsidRPr="00D32DA2" w:rsidRDefault="00DB0AA3" w:rsidP="00D32DA2">
      <w:pPr>
        <w:pStyle w:val="2"/>
        <w:spacing w:before="0" w:line="360" w:lineRule="auto"/>
        <w:rPr>
          <w:rFonts w:cs="Times New Roman"/>
          <w:b/>
        </w:rPr>
      </w:pPr>
      <w:bookmarkStart w:id="10" w:name="_Toc493323957"/>
      <w:r w:rsidRPr="00D32DA2">
        <w:rPr>
          <w:rFonts w:cs="Times New Roman"/>
          <w:b/>
        </w:rPr>
        <w:t>1.1.2 Ανατομία και φυσιολογία φάρυγγα</w:t>
      </w:r>
      <w:bookmarkEnd w:id="10"/>
    </w:p>
    <w:p w14:paraId="29C809EC" w14:textId="77777777" w:rsidR="00146CE2" w:rsidRPr="00BF0161" w:rsidRDefault="00DB0AA3">
      <w:pPr>
        <w:spacing w:after="120" w:line="360" w:lineRule="auto"/>
        <w:jc w:val="both"/>
        <w:rPr>
          <w:lang w:val="el-GR"/>
        </w:rPr>
      </w:pPr>
      <w:r w:rsidRPr="00BF0161">
        <w:rPr>
          <w:lang w:val="el-GR"/>
        </w:rPr>
        <w:t xml:space="preserve">Ο φάρυγγας εκτείνεται μετά τη στοματική κοιλότητα προς τα κάτω, έως τον οισοφάγο, το κατώτερο τμήμα του ονομάζεται </w:t>
      </w:r>
      <w:proofErr w:type="spellStart"/>
      <w:r w:rsidRPr="00BF0161">
        <w:rPr>
          <w:lang w:val="el-GR"/>
        </w:rPr>
        <w:t>υποφάρυγγας</w:t>
      </w:r>
      <w:proofErr w:type="spellEnd"/>
      <w:r w:rsidRPr="00BF0161">
        <w:rPr>
          <w:lang w:val="el-GR"/>
        </w:rPr>
        <w:t xml:space="preserve"> και διαχωρίζεται με τον οισοφάγο από το </w:t>
      </w:r>
      <w:proofErr w:type="spellStart"/>
      <w:r w:rsidRPr="00BF0161">
        <w:rPr>
          <w:lang w:val="el-GR"/>
        </w:rPr>
        <w:t>κρικοφάρυγγα</w:t>
      </w:r>
      <w:proofErr w:type="spellEnd"/>
      <w:r w:rsidRPr="00BF0161">
        <w:rPr>
          <w:lang w:val="el-GR"/>
        </w:rPr>
        <w:t xml:space="preserve"> (</w:t>
      </w:r>
      <w:proofErr w:type="spellStart"/>
      <w:r>
        <w:rPr>
          <w:lang w:val="en-US"/>
        </w:rPr>
        <w:t>Groher</w:t>
      </w:r>
      <w:proofErr w:type="spellEnd"/>
      <w:r w:rsidRPr="00BF0161">
        <w:rPr>
          <w:lang w:val="el-GR"/>
        </w:rPr>
        <w:t xml:space="preserve"> &amp; </w:t>
      </w:r>
      <w:proofErr w:type="spellStart"/>
      <w:r>
        <w:rPr>
          <w:lang w:val="en-US"/>
        </w:rPr>
        <w:t>Crary</w:t>
      </w:r>
      <w:proofErr w:type="spellEnd"/>
      <w:r w:rsidRPr="00BF0161">
        <w:rPr>
          <w:lang w:val="el-GR"/>
        </w:rPr>
        <w:t xml:space="preserve">, 2015). Απαρτίζεται από τρία μέρη, τα οποία είναι ο ρινοφάρυγγας ή </w:t>
      </w:r>
      <w:proofErr w:type="spellStart"/>
      <w:r w:rsidRPr="00BF0161">
        <w:rPr>
          <w:lang w:val="el-GR"/>
        </w:rPr>
        <w:t>επιφάρυγγας</w:t>
      </w:r>
      <w:proofErr w:type="spellEnd"/>
      <w:r w:rsidRPr="00BF0161">
        <w:rPr>
          <w:lang w:val="el-GR"/>
        </w:rPr>
        <w:t xml:space="preserve">, ο </w:t>
      </w:r>
      <w:proofErr w:type="spellStart"/>
      <w:r w:rsidRPr="00BF0161">
        <w:rPr>
          <w:lang w:val="el-GR"/>
        </w:rPr>
        <w:t>στοματοφάρυγγας</w:t>
      </w:r>
      <w:proofErr w:type="spellEnd"/>
      <w:r w:rsidRPr="00BF0161">
        <w:rPr>
          <w:lang w:val="el-GR"/>
        </w:rPr>
        <w:t xml:space="preserve"> ή </w:t>
      </w:r>
      <w:proofErr w:type="spellStart"/>
      <w:r w:rsidRPr="00BF0161">
        <w:rPr>
          <w:lang w:val="el-GR"/>
        </w:rPr>
        <w:t>μεσοφάρυγγας</w:t>
      </w:r>
      <w:proofErr w:type="spellEnd"/>
      <w:r w:rsidRPr="00BF0161">
        <w:rPr>
          <w:lang w:val="el-GR"/>
        </w:rPr>
        <w:t xml:space="preserve"> και ο </w:t>
      </w:r>
      <w:proofErr w:type="spellStart"/>
      <w:r w:rsidRPr="00BF0161">
        <w:rPr>
          <w:lang w:val="el-GR"/>
        </w:rPr>
        <w:t>υποφάρυγγας</w:t>
      </w:r>
      <w:proofErr w:type="spellEnd"/>
      <w:r w:rsidRPr="00BF0161">
        <w:rPr>
          <w:lang w:val="el-GR"/>
        </w:rPr>
        <w:t xml:space="preserve"> ή </w:t>
      </w:r>
      <w:proofErr w:type="spellStart"/>
      <w:r w:rsidRPr="00BF0161">
        <w:rPr>
          <w:lang w:val="el-GR"/>
        </w:rPr>
        <w:t>λαρυγγοράφυγγας</w:t>
      </w:r>
      <w:proofErr w:type="spellEnd"/>
      <w:r w:rsidRPr="00BF0161">
        <w:rPr>
          <w:lang w:val="el-GR"/>
        </w:rPr>
        <w:t xml:space="preserve">. Οι τέσσερις χιτώνες που συνιστούν το τοίχωμα του φάρυγγα είναι η </w:t>
      </w:r>
      <w:proofErr w:type="spellStart"/>
      <w:r w:rsidRPr="00BF0161">
        <w:rPr>
          <w:lang w:val="el-GR"/>
        </w:rPr>
        <w:lastRenderedPageBreak/>
        <w:t>περιφαρυγγική</w:t>
      </w:r>
      <w:proofErr w:type="spellEnd"/>
      <w:r w:rsidRPr="00BF0161">
        <w:rPr>
          <w:lang w:val="el-GR"/>
        </w:rPr>
        <w:t xml:space="preserve"> </w:t>
      </w:r>
      <w:proofErr w:type="spellStart"/>
      <w:r w:rsidRPr="00BF0161">
        <w:rPr>
          <w:lang w:val="el-GR"/>
        </w:rPr>
        <w:t>περιτονία</w:t>
      </w:r>
      <w:proofErr w:type="spellEnd"/>
      <w:r w:rsidRPr="00BF0161">
        <w:rPr>
          <w:lang w:val="el-GR"/>
        </w:rPr>
        <w:t>, ο μυϊκός χιτώνας, ο ινώδης χιτώνας και ο βλεννογόνος. Η επιφάνεια του φάρυγγα αποτελείται από βλεννογόνο και συγκεκριμένα από επιθήλιο, χόριο και αδένες. Ακόμη, εμφανίζει τη φαρυγγική, τις παρίσθμιες και την σαλπιγγική αμυγδαλή (</w:t>
      </w:r>
      <w:proofErr w:type="spellStart"/>
      <w:r w:rsidRPr="00BF0161">
        <w:rPr>
          <w:lang w:val="el-GR"/>
        </w:rPr>
        <w:t>Ζιάβρα</w:t>
      </w:r>
      <w:proofErr w:type="spellEnd"/>
      <w:r w:rsidRPr="00BF0161">
        <w:rPr>
          <w:lang w:val="el-GR"/>
        </w:rPr>
        <w:t xml:space="preserve"> &amp; Σκεύας, 2003).</w:t>
      </w:r>
    </w:p>
    <w:p w14:paraId="7A317A06" w14:textId="77777777" w:rsidR="00146CE2" w:rsidRPr="00BF0161" w:rsidRDefault="00DB0AA3">
      <w:pPr>
        <w:spacing w:after="120" w:line="360" w:lineRule="auto"/>
        <w:jc w:val="both"/>
        <w:rPr>
          <w:lang w:val="el-GR"/>
        </w:rPr>
      </w:pPr>
      <w:r w:rsidRPr="00BF0161">
        <w:rPr>
          <w:lang w:val="el-GR"/>
        </w:rPr>
        <w:t>Στη δομή του φάρυγγα διασταυρώνονται η αναπνευστική οδός, κατευθυνόμενη από τις ρινικές χοάνες προς τον λάρυγγα, και η πεπτική, με διεύθυνση από την στοματική κοιλότητα στον οισοφάγο (Γκούμας, 2012). Οι βασικές λειτουργίες του φάρυγγα είναι η κατάποση, η γεύση , η ομιλία και αναπνοή (</w:t>
      </w:r>
      <w:proofErr w:type="spellStart"/>
      <w:r w:rsidRPr="00BF0161">
        <w:rPr>
          <w:lang w:val="el-GR"/>
        </w:rPr>
        <w:t>Ζιάβρα</w:t>
      </w:r>
      <w:proofErr w:type="spellEnd"/>
      <w:r w:rsidRPr="00BF0161">
        <w:rPr>
          <w:lang w:val="el-GR"/>
        </w:rPr>
        <w:t xml:space="preserve"> &amp; Σκεύας, 2003).</w:t>
      </w:r>
    </w:p>
    <w:p w14:paraId="57232978" w14:textId="77777777" w:rsidR="00146CE2" w:rsidRPr="00BF0161" w:rsidRDefault="00146CE2">
      <w:pPr>
        <w:spacing w:after="120" w:line="360" w:lineRule="auto"/>
        <w:jc w:val="both"/>
        <w:rPr>
          <w:lang w:val="el-GR"/>
        </w:rPr>
      </w:pPr>
    </w:p>
    <w:p w14:paraId="7AFAD302" w14:textId="77777777" w:rsidR="00146CE2" w:rsidRPr="00D32DA2" w:rsidRDefault="00DB0AA3" w:rsidP="00D32DA2">
      <w:pPr>
        <w:pStyle w:val="2"/>
        <w:spacing w:before="0" w:line="360" w:lineRule="auto"/>
        <w:rPr>
          <w:b/>
          <w:szCs w:val="24"/>
        </w:rPr>
      </w:pPr>
      <w:bookmarkStart w:id="11" w:name="_Toc493323958"/>
      <w:r w:rsidRPr="00D32DA2">
        <w:rPr>
          <w:b/>
          <w:szCs w:val="24"/>
        </w:rPr>
        <w:t>1.1.3 Ανατομία και φυσιολογία λάρυγγα</w:t>
      </w:r>
      <w:bookmarkEnd w:id="11"/>
    </w:p>
    <w:p w14:paraId="037DDB95" w14:textId="77777777" w:rsidR="00146CE2" w:rsidRPr="00BF0161" w:rsidRDefault="00DB0AA3">
      <w:pPr>
        <w:spacing w:after="120" w:line="360" w:lineRule="auto"/>
        <w:jc w:val="both"/>
        <w:rPr>
          <w:lang w:val="el-GR"/>
        </w:rPr>
      </w:pPr>
      <w:r w:rsidRPr="00BF0161">
        <w:rPr>
          <w:lang w:val="el-GR"/>
        </w:rPr>
        <w:t>Ο λάρυγγας έχει μήκος περίπου 5 εκ. και εκτείνεται από το επίπεδο του 3</w:t>
      </w:r>
      <w:r w:rsidRPr="00BF0161">
        <w:rPr>
          <w:vertAlign w:val="superscript"/>
          <w:lang w:val="el-GR"/>
        </w:rPr>
        <w:t>ου</w:t>
      </w:r>
      <w:r w:rsidRPr="00BF0161">
        <w:rPr>
          <w:lang w:val="el-GR"/>
        </w:rPr>
        <w:t xml:space="preserve"> ή 4</w:t>
      </w:r>
      <w:r w:rsidRPr="00BF0161">
        <w:rPr>
          <w:vertAlign w:val="superscript"/>
          <w:lang w:val="el-GR"/>
        </w:rPr>
        <w:t>ου</w:t>
      </w:r>
      <w:r w:rsidRPr="00BF0161">
        <w:rPr>
          <w:lang w:val="el-GR"/>
        </w:rPr>
        <w:t xml:space="preserve"> αυχενικού σπονδύλου έως τον 6</w:t>
      </w:r>
      <w:r w:rsidRPr="00BF0161">
        <w:rPr>
          <w:vertAlign w:val="superscript"/>
          <w:lang w:val="el-GR"/>
        </w:rPr>
        <w:t>ο</w:t>
      </w:r>
      <w:r w:rsidRPr="00BF0161">
        <w:rPr>
          <w:lang w:val="el-GR"/>
        </w:rPr>
        <w:t xml:space="preserve">. Βρίσκεται στη πρόσθια επιφάνεια του τραχήλου, μπροστά από τον φάρυγγα, πάνω από την τραχεία και κάτω από το υοειδές οστό. Ο λάρυγγας αποτελείται από ένα χόνδρινο σκελετό, από αρθρώσεις, μύες, συνδέσμους και μία κοιλότητα στο εσωτερικό του, η </w:t>
      </w:r>
      <w:r w:rsidRPr="00BF0161">
        <w:rPr>
          <w:lang w:val="el-GR"/>
        </w:rPr>
        <w:lastRenderedPageBreak/>
        <w:t>οποία επαλείφεται από βλεννογόνο. Ο χόνδρινος σκελετός του λάρυγγα αποτελείται από εννέα χόνδρους: την επιγλωττίδα, το θυρεοειδή, τον κρικοειδή, δύο αρυταινοειδείς, δύο κερατοειδείς και δύο σφηνοειδείς (</w:t>
      </w:r>
      <w:r>
        <w:rPr>
          <w:lang w:val="en-US"/>
        </w:rPr>
        <w:t>McFarland</w:t>
      </w:r>
      <w:r w:rsidRPr="00BF0161">
        <w:rPr>
          <w:lang w:val="el-GR"/>
        </w:rPr>
        <w:t>, 2011).</w:t>
      </w:r>
    </w:p>
    <w:p w14:paraId="0E5D8D51" w14:textId="77777777" w:rsidR="00146CE2" w:rsidRPr="00BF0161" w:rsidRDefault="00DB0AA3">
      <w:pPr>
        <w:spacing w:after="120" w:line="360" w:lineRule="auto"/>
        <w:jc w:val="both"/>
        <w:rPr>
          <w:lang w:val="el-GR"/>
        </w:rPr>
      </w:pPr>
      <w:r w:rsidRPr="00BF0161">
        <w:rPr>
          <w:lang w:val="el-GR"/>
        </w:rPr>
        <w:t xml:space="preserve">Η </w:t>
      </w:r>
      <w:r w:rsidRPr="00BF0161">
        <w:rPr>
          <w:i/>
          <w:lang w:val="el-GR"/>
        </w:rPr>
        <w:t>επιγλωττίδα</w:t>
      </w:r>
      <w:r w:rsidRPr="00BF0161">
        <w:rPr>
          <w:lang w:val="el-GR"/>
        </w:rPr>
        <w:t xml:space="preserve"> είναι ένα ελαστικό </w:t>
      </w:r>
      <w:proofErr w:type="spellStart"/>
      <w:r w:rsidRPr="00BF0161">
        <w:rPr>
          <w:lang w:val="el-GR"/>
        </w:rPr>
        <w:t>ινοχόνδρινο</w:t>
      </w:r>
      <w:proofErr w:type="spellEnd"/>
      <w:r w:rsidRPr="00BF0161">
        <w:rPr>
          <w:lang w:val="el-GR"/>
        </w:rPr>
        <w:t xml:space="preserve"> πέταλο</w:t>
      </w:r>
      <w:r w:rsidR="00FD2D86">
        <w:rPr>
          <w:lang w:val="el-GR"/>
        </w:rPr>
        <w:t xml:space="preserve">, που λειτουργεί κυρίως ως μέσο </w:t>
      </w:r>
      <w:r w:rsidRPr="00BF0161">
        <w:rPr>
          <w:lang w:val="el-GR"/>
        </w:rPr>
        <w:t xml:space="preserve">παρεμπόδισης της εισόδου της τροφής στον λάρυγγα. Κατά την κατάποση, ο λάρυγγας ανυψώνεται προς τα εμπρός και άνω. Η κίνηση αυτή συμπιέζει την επιγλωττίδα πάνω στη βάση της γλώσσας, μετατοπίζοντάς την προς τα πίσω, πάνω στην είσοδο του λάρυγγα. Η επιγλωττίδα εμφανίζει προς τα εμπρός 2 προσφύσεις. Η επιφάνεια της επιγλωττίδας εμφανίζει πολλαπλά </w:t>
      </w:r>
      <w:proofErr w:type="spellStart"/>
      <w:r w:rsidRPr="00BF0161">
        <w:rPr>
          <w:lang w:val="el-GR"/>
        </w:rPr>
        <w:t>βοθρία</w:t>
      </w:r>
      <w:proofErr w:type="spellEnd"/>
      <w:r w:rsidRPr="00BF0161">
        <w:rPr>
          <w:lang w:val="el-GR"/>
        </w:rPr>
        <w:t xml:space="preserve"> και πολλούς βλεννογόνους  αδένες (</w:t>
      </w:r>
      <w:r>
        <w:rPr>
          <w:lang w:val="en-US"/>
        </w:rPr>
        <w:t>Ballenger</w:t>
      </w:r>
      <w:r w:rsidRPr="00BF0161">
        <w:rPr>
          <w:lang w:val="el-GR"/>
        </w:rPr>
        <w:t xml:space="preserve"> &amp; </w:t>
      </w:r>
      <w:r>
        <w:rPr>
          <w:lang w:val="en-US"/>
        </w:rPr>
        <w:t>Snow</w:t>
      </w:r>
      <w:r w:rsidRPr="00BF0161">
        <w:rPr>
          <w:lang w:val="el-GR"/>
        </w:rPr>
        <w:t xml:space="preserve">, 1998). </w:t>
      </w:r>
    </w:p>
    <w:p w14:paraId="36031A05" w14:textId="77777777" w:rsidR="00146CE2" w:rsidRPr="00BF0161" w:rsidRDefault="00DB0AA3">
      <w:pPr>
        <w:spacing w:after="120" w:line="360" w:lineRule="auto"/>
        <w:jc w:val="both"/>
        <w:rPr>
          <w:lang w:val="el-GR"/>
        </w:rPr>
      </w:pPr>
      <w:r w:rsidRPr="00BF0161">
        <w:rPr>
          <w:lang w:val="el-GR"/>
        </w:rPr>
        <w:t xml:space="preserve">Ο </w:t>
      </w:r>
      <w:r w:rsidRPr="00BF0161">
        <w:rPr>
          <w:i/>
          <w:lang w:val="el-GR"/>
        </w:rPr>
        <w:t>θυρεοειδής</w:t>
      </w:r>
      <w:r w:rsidRPr="00BF0161">
        <w:rPr>
          <w:lang w:val="el-GR"/>
        </w:rPr>
        <w:t xml:space="preserve"> χόνδρος είναι ο μεγαλύτερος χόνδρος του λάρυγγα. Αποτελείται από υαλοειδή χόνδρο και σχηματίζεται από δύο τετράπλευρα πέταλα, τα οποία μπροστά ενώνονται μεταξύ τους με σχεδόν ορθή γωνία και σχηματίζουν το λαρυγγικό έπαρμα ή μήλο του Αδάμ. Στο μέσο του άνω χείλους του θυρεοειδούς χόνδρου βρίσκεται η θυρεοειδής εντομή. Η έσω </w:t>
      </w:r>
      <w:r w:rsidRPr="00BF0161">
        <w:rPr>
          <w:lang w:val="el-GR"/>
        </w:rPr>
        <w:lastRenderedPageBreak/>
        <w:t xml:space="preserve">και έξω επιφάνειά του χρησιμεύει για την </w:t>
      </w:r>
      <w:proofErr w:type="spellStart"/>
      <w:r w:rsidRPr="00BF0161">
        <w:rPr>
          <w:lang w:val="el-GR"/>
        </w:rPr>
        <w:t>έκφυση</w:t>
      </w:r>
      <w:proofErr w:type="spellEnd"/>
      <w:r w:rsidRPr="00BF0161">
        <w:rPr>
          <w:lang w:val="el-GR"/>
        </w:rPr>
        <w:t xml:space="preserve"> διαφόρων μυών (</w:t>
      </w:r>
      <w:proofErr w:type="spellStart"/>
      <w:r w:rsidRPr="00BF0161">
        <w:rPr>
          <w:lang w:val="el-GR"/>
        </w:rPr>
        <w:t>Ζιάβρα</w:t>
      </w:r>
      <w:proofErr w:type="spellEnd"/>
      <w:r w:rsidRPr="00BF0161">
        <w:rPr>
          <w:lang w:val="el-GR"/>
        </w:rPr>
        <w:t xml:space="preserve"> &amp; Σκεύας, 2003). </w:t>
      </w:r>
    </w:p>
    <w:p w14:paraId="3009F122" w14:textId="77777777" w:rsidR="00146CE2" w:rsidRPr="00BF0161" w:rsidRDefault="00DB0AA3">
      <w:pPr>
        <w:spacing w:after="120" w:line="360" w:lineRule="auto"/>
        <w:jc w:val="both"/>
        <w:rPr>
          <w:lang w:val="el-GR"/>
        </w:rPr>
      </w:pPr>
      <w:r w:rsidRPr="00BF0161">
        <w:rPr>
          <w:lang w:val="el-GR"/>
        </w:rPr>
        <w:t xml:space="preserve">Ο </w:t>
      </w:r>
      <w:r w:rsidRPr="00BF0161">
        <w:rPr>
          <w:i/>
          <w:lang w:val="el-GR"/>
        </w:rPr>
        <w:t>κρικοειδής</w:t>
      </w:r>
      <w:r w:rsidRPr="00BF0161">
        <w:rPr>
          <w:lang w:val="el-GR"/>
        </w:rPr>
        <w:t xml:space="preserve"> χόνδρος είναι ο κατώτερος χόνδρος του λάρυγγα. Αποτελεί το μοναδικό ανατομικό μόρφωμα που περιβάλλει πλήρως την αεροφόρο οδό και χρησιμεύει ως το κύριο στήριγμα του λάρυγγα κατά την διάρκεια της λειτουργίας του. Απαρτίζεται από το πέταλο και το τόξο. Το πέταλο είναι τετράπλευρο και βρίσκεται στο οπίσθιο τοίχωμα του λ</w:t>
      </w:r>
      <w:bookmarkStart w:id="12" w:name="_GoBack"/>
      <w:bookmarkEnd w:id="12"/>
      <w:r w:rsidRPr="00BF0161">
        <w:rPr>
          <w:lang w:val="el-GR"/>
        </w:rPr>
        <w:t xml:space="preserve">άρυγγα. Στο άνω χείλος του δεξιά και αριστερά έχει την αρυτενοειδή αρθρική επιφάνεια για την σύνδεσή του με τους αρυταινοειδείς  χόνδρους. Το τόξο είναι ημικυκλοτερές και στα πλάγιά του έχει τη θυρεοειδική αρθρική επιφάνεια για την σύνταξή του με το θυρεοειδές </w:t>
      </w:r>
      <w:proofErr w:type="spellStart"/>
      <w:r w:rsidRPr="00BF0161">
        <w:rPr>
          <w:lang w:val="el-GR"/>
        </w:rPr>
        <w:t>κέρας</w:t>
      </w:r>
      <w:proofErr w:type="spellEnd"/>
      <w:r w:rsidRPr="00BF0161">
        <w:rPr>
          <w:lang w:val="el-GR"/>
        </w:rPr>
        <w:t xml:space="preserve">  (</w:t>
      </w:r>
      <w:proofErr w:type="spellStart"/>
      <w:r w:rsidRPr="00BF0161">
        <w:rPr>
          <w:lang w:val="el-GR"/>
        </w:rPr>
        <w:t>Ζιάβρα</w:t>
      </w:r>
      <w:proofErr w:type="spellEnd"/>
      <w:r w:rsidRPr="00BF0161">
        <w:rPr>
          <w:lang w:val="el-GR"/>
        </w:rPr>
        <w:t xml:space="preserve"> &amp; Σκεύας, 2003; </w:t>
      </w:r>
      <w:r>
        <w:rPr>
          <w:lang w:val="en-US"/>
        </w:rPr>
        <w:t>Ballenger</w:t>
      </w:r>
      <w:r w:rsidRPr="00BF0161">
        <w:rPr>
          <w:lang w:val="el-GR"/>
        </w:rPr>
        <w:t xml:space="preserve"> &amp; </w:t>
      </w:r>
      <w:r>
        <w:rPr>
          <w:lang w:val="en-US"/>
        </w:rPr>
        <w:t>Snow</w:t>
      </w:r>
      <w:r w:rsidRPr="00BF0161">
        <w:rPr>
          <w:lang w:val="el-GR"/>
        </w:rPr>
        <w:t>, 1998).</w:t>
      </w:r>
    </w:p>
    <w:p w14:paraId="08746B7D" w14:textId="77777777" w:rsidR="00146CE2" w:rsidRPr="00BF0161" w:rsidRDefault="00146CE2">
      <w:pPr>
        <w:spacing w:after="120" w:line="360" w:lineRule="auto"/>
        <w:jc w:val="both"/>
        <w:rPr>
          <w:lang w:val="el-GR"/>
        </w:rPr>
      </w:pPr>
    </w:p>
    <w:p w14:paraId="754C4E7B" w14:textId="77777777" w:rsidR="00146CE2" w:rsidRPr="00BF0161" w:rsidRDefault="00EE316F">
      <w:pPr>
        <w:spacing w:after="120" w:line="360" w:lineRule="auto"/>
        <w:jc w:val="both"/>
        <w:rPr>
          <w:lang w:val="el-GR"/>
        </w:rPr>
      </w:pPr>
      <w:r>
        <w:rPr>
          <w:noProof/>
          <w:lang w:val="el-GR" w:eastAsia="el-GR"/>
        </w:rPr>
        <w:drawing>
          <wp:anchor distT="0" distB="0" distL="114300" distR="114300" simplePos="0" relativeHeight="251657216" behindDoc="0" locked="0" layoutInCell="1" allowOverlap="1" wp14:anchorId="48C26724" wp14:editId="64FBA2A6">
            <wp:simplePos x="0" y="0"/>
            <wp:positionH relativeFrom="margin">
              <wp:posOffset>1513840</wp:posOffset>
            </wp:positionH>
            <wp:positionV relativeFrom="margin">
              <wp:posOffset>2205355</wp:posOffset>
            </wp:positionV>
            <wp:extent cx="2498090" cy="2992120"/>
            <wp:effectExtent l="19050" t="0" r="0" b="0"/>
            <wp:wrapSquare wrapText="bothSides"/>
            <wp:docPr id="1" name="Picture" descr="genika larygga_1_si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genika larygga_1_side.PNG"/>
                    <pic:cNvPicPr>
                      <a:picLocks noChangeAspect="1" noChangeArrowheads="1"/>
                    </pic:cNvPicPr>
                  </pic:nvPicPr>
                  <pic:blipFill>
                    <a:blip r:embed="rId11" cstate="print"/>
                    <a:stretch>
                      <a:fillRect/>
                    </a:stretch>
                  </pic:blipFill>
                  <pic:spPr bwMode="auto">
                    <a:xfrm>
                      <a:off x="0" y="0"/>
                      <a:ext cx="2498090" cy="2992120"/>
                    </a:xfrm>
                    <a:prstGeom prst="rect">
                      <a:avLst/>
                    </a:prstGeom>
                    <a:noFill/>
                    <a:ln w="9525">
                      <a:noFill/>
                      <a:miter lim="800000"/>
                      <a:headEnd/>
                      <a:tailEnd/>
                    </a:ln>
                  </pic:spPr>
                </pic:pic>
              </a:graphicData>
            </a:graphic>
          </wp:anchor>
        </w:drawing>
      </w:r>
    </w:p>
    <w:p w14:paraId="0B6BCE1B" w14:textId="77777777" w:rsidR="00146CE2" w:rsidRPr="00BF0161" w:rsidRDefault="00146CE2">
      <w:pPr>
        <w:spacing w:after="120" w:line="360" w:lineRule="auto"/>
        <w:jc w:val="both"/>
        <w:rPr>
          <w:lang w:val="el-GR"/>
        </w:rPr>
      </w:pPr>
    </w:p>
    <w:p w14:paraId="41CE9A61" w14:textId="77777777" w:rsidR="00146CE2" w:rsidRPr="00BF0161" w:rsidRDefault="00146CE2">
      <w:pPr>
        <w:spacing w:after="120" w:line="360" w:lineRule="auto"/>
        <w:jc w:val="both"/>
        <w:rPr>
          <w:lang w:val="el-GR"/>
        </w:rPr>
      </w:pPr>
    </w:p>
    <w:p w14:paraId="2E055A66" w14:textId="77777777" w:rsidR="00146CE2" w:rsidRPr="00BF0161" w:rsidRDefault="00146CE2">
      <w:pPr>
        <w:spacing w:after="120" w:line="360" w:lineRule="auto"/>
        <w:jc w:val="both"/>
        <w:rPr>
          <w:lang w:val="el-GR"/>
        </w:rPr>
      </w:pPr>
    </w:p>
    <w:p w14:paraId="1E69C8C2" w14:textId="77777777" w:rsidR="00146CE2" w:rsidRPr="00BF0161" w:rsidRDefault="00146CE2">
      <w:pPr>
        <w:spacing w:after="120" w:line="360" w:lineRule="auto"/>
        <w:jc w:val="both"/>
        <w:rPr>
          <w:lang w:val="el-GR"/>
        </w:rPr>
      </w:pPr>
    </w:p>
    <w:p w14:paraId="5B477BD0" w14:textId="77777777" w:rsidR="00146CE2" w:rsidRPr="00BF0161" w:rsidRDefault="00146CE2">
      <w:pPr>
        <w:spacing w:after="120" w:line="360" w:lineRule="auto"/>
        <w:jc w:val="both"/>
        <w:rPr>
          <w:lang w:val="el-GR"/>
        </w:rPr>
      </w:pPr>
    </w:p>
    <w:p w14:paraId="6065C363" w14:textId="77777777" w:rsidR="00146CE2" w:rsidRPr="00BF0161" w:rsidRDefault="00146CE2">
      <w:pPr>
        <w:spacing w:after="120" w:line="360" w:lineRule="auto"/>
        <w:jc w:val="both"/>
        <w:rPr>
          <w:lang w:val="el-GR"/>
        </w:rPr>
      </w:pPr>
    </w:p>
    <w:p w14:paraId="3B058B3A" w14:textId="77777777" w:rsidR="00146CE2" w:rsidRPr="00BF0161" w:rsidRDefault="00146CE2">
      <w:pPr>
        <w:spacing w:after="120" w:line="360" w:lineRule="auto"/>
        <w:jc w:val="both"/>
        <w:rPr>
          <w:lang w:val="el-GR"/>
        </w:rPr>
      </w:pPr>
    </w:p>
    <w:p w14:paraId="5EBAF6E0" w14:textId="77777777" w:rsidR="00146CE2" w:rsidRPr="00BF0161" w:rsidRDefault="00146CE2">
      <w:pPr>
        <w:spacing w:after="120" w:line="360" w:lineRule="auto"/>
        <w:jc w:val="both"/>
        <w:rPr>
          <w:lang w:val="el-GR"/>
        </w:rPr>
      </w:pPr>
    </w:p>
    <w:p w14:paraId="459DE22A" w14:textId="77777777" w:rsidR="007D60E0" w:rsidRDefault="007D60E0" w:rsidP="000264BA">
      <w:pPr>
        <w:spacing w:after="120" w:line="360" w:lineRule="auto"/>
        <w:jc w:val="center"/>
        <w:rPr>
          <w:b/>
          <w:lang w:val="el-GR"/>
        </w:rPr>
      </w:pPr>
    </w:p>
    <w:p w14:paraId="54FA4996" w14:textId="77777777" w:rsidR="00146CE2" w:rsidRPr="00BF0161" w:rsidRDefault="00DB0AA3" w:rsidP="000264BA">
      <w:pPr>
        <w:spacing w:after="120" w:line="360" w:lineRule="auto"/>
        <w:jc w:val="center"/>
        <w:rPr>
          <w:b/>
          <w:lang w:val="el-GR"/>
        </w:rPr>
      </w:pPr>
      <w:r w:rsidRPr="00BF0161">
        <w:rPr>
          <w:b/>
          <w:lang w:val="el-GR"/>
        </w:rPr>
        <w:t xml:space="preserve">Εικόνα 1.1: </w:t>
      </w:r>
      <w:r w:rsidRPr="00BF0161">
        <w:rPr>
          <w:lang w:val="el-GR"/>
        </w:rPr>
        <w:t>Ανατομικές δομές λάρυγγα</w:t>
      </w:r>
    </w:p>
    <w:p w14:paraId="20E5E1A7" w14:textId="77777777" w:rsidR="007D60E0" w:rsidRDefault="007D60E0">
      <w:pPr>
        <w:spacing w:after="120" w:line="360" w:lineRule="auto"/>
        <w:jc w:val="both"/>
        <w:rPr>
          <w:lang w:val="el-GR"/>
        </w:rPr>
      </w:pPr>
    </w:p>
    <w:p w14:paraId="2E0E7532" w14:textId="77777777" w:rsidR="00146CE2" w:rsidRPr="00BF0161" w:rsidRDefault="00DB0AA3">
      <w:pPr>
        <w:spacing w:after="120" w:line="360" w:lineRule="auto"/>
        <w:jc w:val="both"/>
        <w:rPr>
          <w:lang w:val="el-GR"/>
        </w:rPr>
      </w:pPr>
      <w:r w:rsidRPr="00BF0161">
        <w:rPr>
          <w:lang w:val="el-GR"/>
        </w:rPr>
        <w:t xml:space="preserve">Οι </w:t>
      </w:r>
      <w:r w:rsidRPr="00BF0161">
        <w:rPr>
          <w:i/>
          <w:lang w:val="el-GR"/>
        </w:rPr>
        <w:t>αρυταινοειδείς</w:t>
      </w:r>
      <w:r w:rsidRPr="00BF0161">
        <w:rPr>
          <w:lang w:val="el-GR"/>
        </w:rPr>
        <w:t xml:space="preserve"> χόνδροι βρίσκονται στο άνω χείλος του πετάλου του κρικοειδούς χόνδρου, αποτελούν το οπίσθιο τοίχωμα του λάρυγγα και έχουν σχήμα τρίπλευρης πυραμίδας με τρείς επιφάνειες, κορυφή και βάση. Η κορυφή συντάσσεται με τον κερατοειδή χόνδρο, ενώ η βάση έχει αρθρική επιφάνεια και συντάσσεται με τον κρικοειδή χόνδρο. Στη βάση υπάρχουν και δύο αποφύσεις, από τις οποίες η μία φέρεται οριζόντια και προς τα εμπρός, φωνητική απόφυση, για την πρόσφυση του φωνητικού μυός και η </w:t>
      </w:r>
      <w:r w:rsidRPr="00BF0161">
        <w:rPr>
          <w:lang w:val="el-GR"/>
        </w:rPr>
        <w:lastRenderedPageBreak/>
        <w:t>άλλη προς τα πίσω και έξω, μυϊκή απόφυση, για την πρόσφυση των δύο κρικαρυταινοειδών μυών (</w:t>
      </w:r>
      <w:proofErr w:type="spellStart"/>
      <w:r w:rsidRPr="00BF0161">
        <w:rPr>
          <w:lang w:val="el-GR"/>
        </w:rPr>
        <w:t>Ζιάβρα</w:t>
      </w:r>
      <w:proofErr w:type="spellEnd"/>
      <w:r w:rsidRPr="00BF0161">
        <w:rPr>
          <w:lang w:val="el-GR"/>
        </w:rPr>
        <w:t xml:space="preserve"> &amp; Σκεύας, 2003).</w:t>
      </w:r>
    </w:p>
    <w:p w14:paraId="7BB2DB79" w14:textId="77777777" w:rsidR="00146CE2" w:rsidRPr="00BF0161" w:rsidRDefault="00DB0AA3">
      <w:pPr>
        <w:spacing w:after="120" w:line="360" w:lineRule="auto"/>
        <w:jc w:val="both"/>
        <w:rPr>
          <w:lang w:val="el-GR"/>
        </w:rPr>
      </w:pPr>
      <w:r w:rsidRPr="00BF0161">
        <w:rPr>
          <w:lang w:val="el-GR"/>
        </w:rPr>
        <w:t xml:space="preserve">Οι </w:t>
      </w:r>
      <w:r w:rsidRPr="00BF0161">
        <w:rPr>
          <w:i/>
          <w:lang w:val="el-GR"/>
        </w:rPr>
        <w:t>κερατοειδείς</w:t>
      </w:r>
      <w:r w:rsidRPr="00BF0161">
        <w:rPr>
          <w:lang w:val="el-GR"/>
        </w:rPr>
        <w:t xml:space="preserve"> και </w:t>
      </w:r>
      <w:r w:rsidRPr="00BF0161">
        <w:rPr>
          <w:i/>
          <w:lang w:val="el-GR"/>
        </w:rPr>
        <w:t>σφηνοειδείς</w:t>
      </w:r>
      <w:r w:rsidRPr="00BF0161">
        <w:rPr>
          <w:lang w:val="el-GR"/>
        </w:rPr>
        <w:t xml:space="preserve"> χόνδροι είναι μικροί συζυγείς και ινοελαστικοί. Ο κερατοειδής χόνδρος βρίσκεται στην κορυφή του αρυταινοειδούς χόνδρου. Ο σφηνοειδής χόνδρος, όταν υπάρχει, βρίσκεται έξω από τον κερατοειδή χόνδρο και είναι σφηνωμένος στην αρυταινοεπιγλωττιδική πτυχή. Μερικοί ερευνητές πιστεύουν ότι οι χόνδροι αυτοί είναι ασήμαντοι (</w:t>
      </w:r>
      <w:r>
        <w:rPr>
          <w:lang w:val="en-US"/>
        </w:rPr>
        <w:t>Ballenger</w:t>
      </w:r>
      <w:r w:rsidRPr="00BF0161">
        <w:rPr>
          <w:lang w:val="el-GR"/>
        </w:rPr>
        <w:t xml:space="preserve"> &amp; </w:t>
      </w:r>
      <w:r>
        <w:rPr>
          <w:lang w:val="en-US"/>
        </w:rPr>
        <w:t>Snow</w:t>
      </w:r>
      <w:r w:rsidRPr="00BF0161">
        <w:rPr>
          <w:lang w:val="el-GR"/>
        </w:rPr>
        <w:t xml:space="preserve">, 1998). </w:t>
      </w:r>
    </w:p>
    <w:p w14:paraId="179AA8C5" w14:textId="77777777" w:rsidR="00146CE2" w:rsidRPr="00BF0161" w:rsidRDefault="00DB0AA3">
      <w:pPr>
        <w:spacing w:after="120" w:line="360" w:lineRule="auto"/>
        <w:jc w:val="both"/>
        <w:rPr>
          <w:lang w:val="el-GR"/>
        </w:rPr>
      </w:pPr>
      <w:r w:rsidRPr="00BF0161">
        <w:rPr>
          <w:lang w:val="el-GR"/>
        </w:rPr>
        <w:t>Στη λειτουργία του λάρυγγα επιδρούν οι ακόλουθοι 2 τύποι μυών:</w:t>
      </w:r>
    </w:p>
    <w:p w14:paraId="23495221" w14:textId="77777777" w:rsidR="00146CE2" w:rsidRDefault="00DB0AA3">
      <w:pPr>
        <w:pStyle w:val="a5"/>
        <w:numPr>
          <w:ilvl w:val="0"/>
          <w:numId w:val="15"/>
        </w:numPr>
        <w:spacing w:after="120" w:line="360" w:lineRule="auto"/>
        <w:jc w:val="both"/>
        <w:rPr>
          <w:rFonts w:ascii="Times New Roman" w:hAnsi="Times New Roman"/>
          <w:sz w:val="24"/>
        </w:rPr>
      </w:pPr>
      <w:r>
        <w:rPr>
          <w:rFonts w:ascii="Times New Roman" w:hAnsi="Times New Roman"/>
          <w:sz w:val="24"/>
        </w:rPr>
        <w:t>οι αυτόχθονες μύες, οι οποίοι έχουν τα σημεία πρόσφυσής τους μέσα στην σκελετική κατασκευή του λάρυγγα.</w:t>
      </w:r>
    </w:p>
    <w:p w14:paraId="4EE0772E" w14:textId="77777777" w:rsidR="00146CE2" w:rsidRDefault="00DB0AA3">
      <w:pPr>
        <w:pStyle w:val="a5"/>
        <w:numPr>
          <w:ilvl w:val="0"/>
          <w:numId w:val="15"/>
        </w:numPr>
        <w:spacing w:after="120" w:line="360" w:lineRule="auto"/>
        <w:jc w:val="both"/>
        <w:rPr>
          <w:rFonts w:ascii="Times New Roman" w:hAnsi="Times New Roman"/>
          <w:sz w:val="24"/>
        </w:rPr>
      </w:pPr>
      <w:r>
        <w:rPr>
          <w:rFonts w:ascii="Times New Roman" w:hAnsi="Times New Roman"/>
          <w:sz w:val="24"/>
        </w:rPr>
        <w:t>οι ετερόχθονες μύες, οι οποίοι έχουν ένα σημείο πρόσφυσης στις δομές του λάρυγγα και ένα άλλο σημείο πρόσφυσης έξω από τον λάρυγγα (</w:t>
      </w:r>
      <w:r>
        <w:rPr>
          <w:rFonts w:ascii="Times New Roman" w:hAnsi="Times New Roman"/>
          <w:sz w:val="24"/>
          <w:lang w:val="en-US"/>
        </w:rPr>
        <w:t>McFarland</w:t>
      </w:r>
      <w:r>
        <w:rPr>
          <w:rFonts w:ascii="Times New Roman" w:hAnsi="Times New Roman"/>
          <w:sz w:val="24"/>
        </w:rPr>
        <w:t>, 2011).</w:t>
      </w:r>
    </w:p>
    <w:p w14:paraId="14490C96" w14:textId="77777777" w:rsidR="00146CE2" w:rsidRDefault="00DB0AA3">
      <w:pPr>
        <w:spacing w:after="120" w:line="360" w:lineRule="auto"/>
        <w:jc w:val="both"/>
        <w:rPr>
          <w:lang w:val="el-GR"/>
        </w:rPr>
      </w:pPr>
      <w:r w:rsidRPr="00BF0161">
        <w:rPr>
          <w:i/>
          <w:lang w:val="el-GR"/>
        </w:rPr>
        <w:t>Αυτόχθονες</w:t>
      </w:r>
      <w:r w:rsidRPr="00BF0161">
        <w:rPr>
          <w:lang w:val="el-GR"/>
        </w:rPr>
        <w:t xml:space="preserve"> μύες του λάρυγγα είναι οι μύες, που από ανατομική άποψη περιορίζονται αποκλειστικά στον λάρυγγα. Οι μυς αυτοί μεταβάλλουν το εύρος της σχισμής της γλωττίδας και το μήκος και την τάση των φωνητικών </w:t>
      </w:r>
      <w:r w:rsidRPr="00BF0161">
        <w:rPr>
          <w:lang w:val="el-GR"/>
        </w:rPr>
        <w:lastRenderedPageBreak/>
        <w:t xml:space="preserve">πτυχών που περιλαμβάνουν πολλούς  προσαγωγούς και ένα μόνο </w:t>
      </w:r>
      <w:proofErr w:type="spellStart"/>
      <w:r w:rsidRPr="00BF0161">
        <w:rPr>
          <w:lang w:val="el-GR"/>
        </w:rPr>
        <w:t>απαγωγό</w:t>
      </w:r>
      <w:proofErr w:type="spellEnd"/>
      <w:r w:rsidRPr="00BF0161">
        <w:rPr>
          <w:lang w:val="el-GR"/>
        </w:rPr>
        <w:t xml:space="preserve"> μυ (</w:t>
      </w:r>
      <w:r>
        <w:rPr>
          <w:lang w:val="en-US"/>
        </w:rPr>
        <w:t>Ballenger</w:t>
      </w:r>
      <w:r w:rsidRPr="00BF0161">
        <w:rPr>
          <w:lang w:val="el-GR"/>
        </w:rPr>
        <w:t xml:space="preserve"> &amp; </w:t>
      </w:r>
      <w:r>
        <w:rPr>
          <w:lang w:val="en-US"/>
        </w:rPr>
        <w:t>Snow</w:t>
      </w:r>
      <w:r w:rsidRPr="00BF0161">
        <w:rPr>
          <w:lang w:val="el-GR"/>
        </w:rPr>
        <w:t>, 1998).</w:t>
      </w:r>
    </w:p>
    <w:p w14:paraId="5174870C" w14:textId="77777777" w:rsidR="00E22DBE" w:rsidRPr="00BF0161" w:rsidRDefault="00E22DBE">
      <w:pPr>
        <w:spacing w:after="120" w:line="360" w:lineRule="auto"/>
        <w:jc w:val="both"/>
        <w:rPr>
          <w:lang w:val="el-GR"/>
        </w:rPr>
      </w:pPr>
      <w:r w:rsidRPr="00E22DBE">
        <w:rPr>
          <w:lang w:val="el-GR"/>
        </w:rPr>
        <w:t>Ετερόχθονες μύες του λάρυγγα ονομάζονται οι μύες που ανυψώνουν, χαμηλώνουν και ακινητοποιούν το λάρυγγα (</w:t>
      </w:r>
      <w:proofErr w:type="spellStart"/>
      <w:r w:rsidRPr="00E22DBE">
        <w:rPr>
          <w:lang w:val="el-GR"/>
        </w:rPr>
        <w:t>Ballenger</w:t>
      </w:r>
      <w:proofErr w:type="spellEnd"/>
      <w:r w:rsidRPr="00E22DBE">
        <w:rPr>
          <w:lang w:val="el-GR"/>
        </w:rPr>
        <w:t xml:space="preserve"> &amp; </w:t>
      </w:r>
      <w:proofErr w:type="spellStart"/>
      <w:r w:rsidRPr="00E22DBE">
        <w:rPr>
          <w:lang w:val="el-GR"/>
        </w:rPr>
        <w:t>Snow</w:t>
      </w:r>
      <w:proofErr w:type="spellEnd"/>
      <w:r w:rsidRPr="00E22DBE">
        <w:rPr>
          <w:lang w:val="el-GR"/>
        </w:rPr>
        <w:t xml:space="preserve">, 1998). Οι κυριότεροι μύες είναι ο </w:t>
      </w:r>
      <w:proofErr w:type="spellStart"/>
      <w:r w:rsidRPr="00E22DBE">
        <w:rPr>
          <w:lang w:val="el-GR"/>
        </w:rPr>
        <w:t>λαρυγγοφαρυγγικός</w:t>
      </w:r>
      <w:proofErr w:type="spellEnd"/>
      <w:r w:rsidRPr="00E22DBE">
        <w:rPr>
          <w:lang w:val="el-GR"/>
        </w:rPr>
        <w:t xml:space="preserve">, ο οποίος φέρνει τον λάρυγγα προς τα άνω και πίσω, ο </w:t>
      </w:r>
      <w:proofErr w:type="spellStart"/>
      <w:r w:rsidRPr="00E22DBE">
        <w:rPr>
          <w:lang w:val="el-GR"/>
        </w:rPr>
        <w:t>στερνοθυ</w:t>
      </w:r>
      <w:r w:rsidR="00000648">
        <w:rPr>
          <w:lang w:val="el-GR"/>
        </w:rPr>
        <w:t>ρ</w:t>
      </w:r>
      <w:r w:rsidRPr="00E22DBE">
        <w:rPr>
          <w:lang w:val="el-GR"/>
        </w:rPr>
        <w:t>εοειδής</w:t>
      </w:r>
      <w:proofErr w:type="spellEnd"/>
      <w:r w:rsidRPr="00E22DBE">
        <w:rPr>
          <w:lang w:val="el-GR"/>
        </w:rPr>
        <w:t>, οποίος φέρνει τον λάρυγγα προς τα κάτω και ο θυρεοειδής προς τα άνω (</w:t>
      </w:r>
      <w:proofErr w:type="spellStart"/>
      <w:r w:rsidRPr="00E22DBE">
        <w:rPr>
          <w:lang w:val="el-GR"/>
        </w:rPr>
        <w:t>Ζιάβρα</w:t>
      </w:r>
      <w:proofErr w:type="spellEnd"/>
      <w:r w:rsidRPr="00E22DBE">
        <w:rPr>
          <w:lang w:val="el-GR"/>
        </w:rPr>
        <w:t xml:space="preserve"> &amp; Σκεύας, 2003). Η ομαλή λειτουργία των μυών έχει κεφαλαιώδη σημασία για την ακριβή χρονική εμφάνιση του αντανακλαστικού της κατάποσης (</w:t>
      </w:r>
      <w:proofErr w:type="spellStart"/>
      <w:r w:rsidRPr="00E22DBE">
        <w:rPr>
          <w:lang w:val="el-GR"/>
        </w:rPr>
        <w:t>Ballenger</w:t>
      </w:r>
      <w:proofErr w:type="spellEnd"/>
      <w:r w:rsidRPr="00E22DBE">
        <w:rPr>
          <w:lang w:val="el-GR"/>
        </w:rPr>
        <w:t xml:space="preserve"> &amp; </w:t>
      </w:r>
      <w:proofErr w:type="spellStart"/>
      <w:r w:rsidRPr="00E22DBE">
        <w:rPr>
          <w:lang w:val="el-GR"/>
        </w:rPr>
        <w:t>Snow</w:t>
      </w:r>
      <w:proofErr w:type="spellEnd"/>
      <w:r w:rsidRPr="00E22DBE">
        <w:rPr>
          <w:lang w:val="el-GR"/>
        </w:rPr>
        <w:t>, 1998).</w:t>
      </w:r>
    </w:p>
    <w:p w14:paraId="7E6DA5CE" w14:textId="77777777" w:rsidR="00146CE2" w:rsidRPr="00BF0161" w:rsidRDefault="00DB0AA3">
      <w:pPr>
        <w:spacing w:after="120" w:line="360" w:lineRule="auto"/>
        <w:jc w:val="both"/>
        <w:rPr>
          <w:lang w:val="el-GR"/>
        </w:rPr>
      </w:pPr>
      <w:r w:rsidRPr="00BF0161">
        <w:rPr>
          <w:lang w:val="el-GR"/>
        </w:rPr>
        <w:t xml:space="preserve">Όπως αναφέρουν οι </w:t>
      </w:r>
      <w:proofErr w:type="spellStart"/>
      <w:r w:rsidRPr="00BF0161">
        <w:rPr>
          <w:lang w:val="el-GR"/>
        </w:rPr>
        <w:t>Ζιάβρα</w:t>
      </w:r>
      <w:proofErr w:type="spellEnd"/>
      <w:r w:rsidRPr="00BF0161">
        <w:rPr>
          <w:lang w:val="el-GR"/>
        </w:rPr>
        <w:t xml:space="preserve"> και Σκεύας (2003), οι μυς του λάρυγγα ανάλογα με την λειτουργική τους</w:t>
      </w:r>
      <w:r w:rsidR="00FD2D86">
        <w:rPr>
          <w:lang w:val="el-GR"/>
        </w:rPr>
        <w:t xml:space="preserve"> επίδραση στις φωνητικές χορδές</w:t>
      </w:r>
      <w:r w:rsidRPr="00BF0161">
        <w:rPr>
          <w:lang w:val="el-GR"/>
        </w:rPr>
        <w:t xml:space="preserve">, χωρίζονται σε 3 ομάδες: </w:t>
      </w:r>
    </w:p>
    <w:p w14:paraId="4F7ED6DB" w14:textId="77777777" w:rsidR="00146CE2" w:rsidRDefault="00DB0AA3">
      <w:pPr>
        <w:pStyle w:val="a5"/>
        <w:numPr>
          <w:ilvl w:val="0"/>
          <w:numId w:val="16"/>
        </w:numPr>
        <w:spacing w:after="120" w:line="360" w:lineRule="auto"/>
        <w:jc w:val="both"/>
        <w:rPr>
          <w:rFonts w:ascii="Times New Roman" w:hAnsi="Times New Roman"/>
          <w:sz w:val="24"/>
        </w:rPr>
      </w:pPr>
      <w:r>
        <w:rPr>
          <w:rFonts w:ascii="Times New Roman" w:hAnsi="Times New Roman"/>
          <w:sz w:val="24"/>
        </w:rPr>
        <w:t>Στους τείνοντες τις φωνητικές χορδές.</w:t>
      </w:r>
    </w:p>
    <w:p w14:paraId="500575AF" w14:textId="77777777" w:rsidR="00146CE2" w:rsidRDefault="00DB0AA3">
      <w:pPr>
        <w:pStyle w:val="a5"/>
        <w:numPr>
          <w:ilvl w:val="0"/>
          <w:numId w:val="16"/>
        </w:numPr>
        <w:spacing w:after="120" w:line="360" w:lineRule="auto"/>
        <w:jc w:val="both"/>
        <w:rPr>
          <w:rFonts w:ascii="Times New Roman" w:hAnsi="Times New Roman"/>
          <w:sz w:val="24"/>
        </w:rPr>
      </w:pPr>
      <w:r>
        <w:rPr>
          <w:rFonts w:ascii="Times New Roman" w:hAnsi="Times New Roman"/>
          <w:sz w:val="24"/>
        </w:rPr>
        <w:t xml:space="preserve">Στους </w:t>
      </w:r>
      <w:proofErr w:type="spellStart"/>
      <w:r>
        <w:rPr>
          <w:rFonts w:ascii="Times New Roman" w:hAnsi="Times New Roman"/>
          <w:sz w:val="24"/>
        </w:rPr>
        <w:t>ανοίγοντες</w:t>
      </w:r>
      <w:proofErr w:type="spellEnd"/>
      <w:r>
        <w:rPr>
          <w:rFonts w:ascii="Times New Roman" w:hAnsi="Times New Roman"/>
          <w:sz w:val="24"/>
        </w:rPr>
        <w:t xml:space="preserve"> τη γλωττίδα.</w:t>
      </w:r>
    </w:p>
    <w:p w14:paraId="7C80AA84" w14:textId="77777777" w:rsidR="00146CE2" w:rsidRPr="00DA4172" w:rsidRDefault="00DB0AA3">
      <w:pPr>
        <w:pStyle w:val="a5"/>
        <w:numPr>
          <w:ilvl w:val="0"/>
          <w:numId w:val="16"/>
        </w:numPr>
        <w:spacing w:after="120" w:line="360" w:lineRule="auto"/>
        <w:jc w:val="both"/>
        <w:rPr>
          <w:rFonts w:ascii="Times New Roman" w:hAnsi="Times New Roman"/>
          <w:sz w:val="24"/>
        </w:rPr>
      </w:pPr>
      <w:r>
        <w:rPr>
          <w:rFonts w:ascii="Times New Roman" w:hAnsi="Times New Roman"/>
          <w:sz w:val="24"/>
        </w:rPr>
        <w:t xml:space="preserve">Στους </w:t>
      </w:r>
      <w:proofErr w:type="spellStart"/>
      <w:r>
        <w:rPr>
          <w:rFonts w:ascii="Times New Roman" w:hAnsi="Times New Roman"/>
          <w:sz w:val="24"/>
        </w:rPr>
        <w:t>κλείνοντες</w:t>
      </w:r>
      <w:proofErr w:type="spellEnd"/>
      <w:r>
        <w:rPr>
          <w:rFonts w:ascii="Times New Roman" w:hAnsi="Times New Roman"/>
          <w:sz w:val="24"/>
        </w:rPr>
        <w:t xml:space="preserve"> τη γλωττίδα.</w:t>
      </w:r>
    </w:p>
    <w:p w14:paraId="6F1A7207" w14:textId="77777777" w:rsidR="00DA4172" w:rsidRDefault="00DA4172" w:rsidP="00DA4172">
      <w:pPr>
        <w:spacing w:after="120" w:line="360" w:lineRule="auto"/>
        <w:jc w:val="both"/>
        <w:rPr>
          <w:lang w:val="en-US"/>
        </w:rPr>
      </w:pPr>
    </w:p>
    <w:p w14:paraId="64955BEB" w14:textId="77777777" w:rsidR="00DA4172" w:rsidRPr="00BF0161" w:rsidRDefault="00DA4172" w:rsidP="00DA4172">
      <w:pPr>
        <w:spacing w:after="120" w:line="360" w:lineRule="auto"/>
        <w:jc w:val="both"/>
        <w:rPr>
          <w:lang w:val="el-GR"/>
        </w:rPr>
      </w:pPr>
      <w:r w:rsidRPr="00BF0161">
        <w:rPr>
          <w:lang w:val="el-GR"/>
        </w:rPr>
        <w:lastRenderedPageBreak/>
        <w:t xml:space="preserve">Η κοιλότητα του λάρυγγα αποτελείται από τρία διαμερίσματα που χωρίζονται από δύο πτυχές. Τα τρία διαμερίσματα είναι ο πρόδομος, η κοιλία και η </w:t>
      </w:r>
      <w:proofErr w:type="spellStart"/>
      <w:r w:rsidRPr="00BF0161">
        <w:rPr>
          <w:lang w:val="el-GR"/>
        </w:rPr>
        <w:t>υπογλωττιδική</w:t>
      </w:r>
      <w:proofErr w:type="spellEnd"/>
      <w:r w:rsidRPr="00BF0161">
        <w:rPr>
          <w:lang w:val="el-GR"/>
        </w:rPr>
        <w:t xml:space="preserve"> κοιλότητα και διαχωρίζονται με τις νόθες και τις γνήσιες φωνητικές χορδές. Τα επενδυμένα με βλεννογόνο διαμερίσματα αυτά οριοθετούν δύο σημαντικούς χώρους: το </w:t>
      </w:r>
      <w:proofErr w:type="spellStart"/>
      <w:r w:rsidRPr="00BF0161">
        <w:rPr>
          <w:lang w:val="el-GR"/>
        </w:rPr>
        <w:t>προεπιγλωττιδικό</w:t>
      </w:r>
      <w:proofErr w:type="spellEnd"/>
      <w:r w:rsidRPr="00BF0161">
        <w:rPr>
          <w:lang w:val="el-GR"/>
        </w:rPr>
        <w:t xml:space="preserve"> διάστημα και το </w:t>
      </w:r>
      <w:proofErr w:type="spellStart"/>
      <w:r w:rsidRPr="00BF0161">
        <w:rPr>
          <w:lang w:val="el-GR"/>
        </w:rPr>
        <w:t>παραεπιγλωττιδικό</w:t>
      </w:r>
      <w:proofErr w:type="spellEnd"/>
      <w:r w:rsidRPr="00BF0161">
        <w:rPr>
          <w:lang w:val="el-GR"/>
        </w:rPr>
        <w:t xml:space="preserve"> διάστημα (</w:t>
      </w:r>
      <w:r>
        <w:rPr>
          <w:lang w:val="en-US"/>
        </w:rPr>
        <w:t>Ballenger</w:t>
      </w:r>
      <w:r w:rsidRPr="00BF0161">
        <w:rPr>
          <w:lang w:val="el-GR"/>
        </w:rPr>
        <w:t xml:space="preserve"> &amp; </w:t>
      </w:r>
      <w:r>
        <w:rPr>
          <w:lang w:val="en-US"/>
        </w:rPr>
        <w:t>Snow</w:t>
      </w:r>
      <w:r w:rsidRPr="00BF0161">
        <w:rPr>
          <w:lang w:val="el-GR"/>
        </w:rPr>
        <w:t>, 1998).</w:t>
      </w:r>
    </w:p>
    <w:p w14:paraId="50F43D6E" w14:textId="77777777" w:rsidR="00DA4172" w:rsidRPr="00D32DA2" w:rsidRDefault="00DA4172" w:rsidP="00DA4172">
      <w:pPr>
        <w:spacing w:after="120" w:line="360" w:lineRule="auto"/>
        <w:jc w:val="both"/>
        <w:rPr>
          <w:lang w:val="el-GR"/>
        </w:rPr>
      </w:pPr>
    </w:p>
    <w:p w14:paraId="44E596DA" w14:textId="77777777" w:rsidR="00DA4172" w:rsidRDefault="00DA4172" w:rsidP="00DA4172">
      <w:pPr>
        <w:spacing w:after="120" w:line="360" w:lineRule="auto"/>
        <w:jc w:val="both"/>
      </w:pPr>
      <w:r>
        <w:rPr>
          <w:noProof/>
          <w:lang w:val="el-GR" w:eastAsia="el-GR"/>
        </w:rPr>
        <w:drawing>
          <wp:inline distT="0" distB="0" distL="0" distR="0" wp14:anchorId="249B9A97" wp14:editId="008655FF">
            <wp:extent cx="5504815" cy="2435225"/>
            <wp:effectExtent l="19050" t="0" r="635" b="0"/>
            <wp:docPr id="7" name="4 - Εικόνα" descr="21741556_1863920646957711_797648080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741556_1863920646957711_797648080_n.png"/>
                    <pic:cNvPicPr/>
                  </pic:nvPicPr>
                  <pic:blipFill>
                    <a:blip r:embed="rId12"/>
                    <a:stretch>
                      <a:fillRect/>
                    </a:stretch>
                  </pic:blipFill>
                  <pic:spPr>
                    <a:xfrm>
                      <a:off x="0" y="0"/>
                      <a:ext cx="5504815" cy="2435225"/>
                    </a:xfrm>
                    <a:prstGeom prst="rect">
                      <a:avLst/>
                    </a:prstGeom>
                  </pic:spPr>
                </pic:pic>
              </a:graphicData>
            </a:graphic>
          </wp:inline>
        </w:drawing>
      </w:r>
    </w:p>
    <w:p w14:paraId="36D906A2" w14:textId="77777777" w:rsidR="00DA4172" w:rsidRPr="00DA4172" w:rsidRDefault="00DA4172" w:rsidP="00DA4172">
      <w:pPr>
        <w:spacing w:after="120" w:line="360" w:lineRule="auto"/>
        <w:jc w:val="center"/>
        <w:rPr>
          <w:lang w:val="el-GR"/>
        </w:rPr>
      </w:pPr>
      <w:r w:rsidRPr="00DA4172">
        <w:rPr>
          <w:b/>
          <w:lang w:val="el-GR"/>
        </w:rPr>
        <w:t>Εικόνα 1.2</w:t>
      </w:r>
      <w:r>
        <w:rPr>
          <w:lang w:val="el-GR"/>
        </w:rPr>
        <w:t xml:space="preserve"> Ανατομικά στοιχεία φώνησης</w:t>
      </w:r>
    </w:p>
    <w:p w14:paraId="3EE03BBC" w14:textId="77777777" w:rsidR="00DA4172" w:rsidRPr="00DA4172" w:rsidRDefault="00DA4172" w:rsidP="00DA4172">
      <w:pPr>
        <w:spacing w:after="120" w:line="360" w:lineRule="auto"/>
        <w:jc w:val="both"/>
        <w:rPr>
          <w:lang w:val="el-GR"/>
        </w:rPr>
      </w:pPr>
      <w:r>
        <w:rPr>
          <w:lang w:val="el-GR"/>
        </w:rPr>
        <w:t>Πηγή</w:t>
      </w:r>
      <w:r w:rsidRPr="00DA4172">
        <w:rPr>
          <w:lang w:val="el-GR"/>
        </w:rPr>
        <w:t xml:space="preserve">: </w:t>
      </w:r>
      <w:r>
        <w:rPr>
          <w:lang w:val="en-US"/>
        </w:rPr>
        <w:t>McAfee</w:t>
      </w:r>
      <w:r w:rsidRPr="00DA4172">
        <w:rPr>
          <w:lang w:val="el-GR"/>
        </w:rPr>
        <w:t>,</w:t>
      </w:r>
      <w:r>
        <w:rPr>
          <w:lang w:val="en-US"/>
        </w:rPr>
        <w:t>J</w:t>
      </w:r>
      <w:r w:rsidRPr="00DA4172">
        <w:rPr>
          <w:lang w:val="el-GR"/>
        </w:rPr>
        <w:t>.</w:t>
      </w:r>
      <w:r>
        <w:rPr>
          <w:lang w:val="en-US"/>
        </w:rPr>
        <w:t>G</w:t>
      </w:r>
      <w:r w:rsidRPr="00DA4172">
        <w:rPr>
          <w:lang w:val="el-GR"/>
        </w:rPr>
        <w:t xml:space="preserve">., &amp; </w:t>
      </w:r>
      <w:r>
        <w:rPr>
          <w:lang w:val="en-US"/>
        </w:rPr>
        <w:t>Shipley</w:t>
      </w:r>
      <w:r w:rsidRPr="00DA4172">
        <w:rPr>
          <w:lang w:val="el-GR"/>
        </w:rPr>
        <w:t>,</w:t>
      </w:r>
      <w:r>
        <w:rPr>
          <w:lang w:val="en-US"/>
        </w:rPr>
        <w:t>K</w:t>
      </w:r>
      <w:r w:rsidRPr="00DA4172">
        <w:rPr>
          <w:lang w:val="el-GR"/>
        </w:rPr>
        <w:t>.</w:t>
      </w:r>
      <w:r>
        <w:rPr>
          <w:lang w:val="en-US"/>
        </w:rPr>
        <w:t>G</w:t>
      </w:r>
      <w:r w:rsidR="009A7330">
        <w:rPr>
          <w:lang w:val="el-GR"/>
        </w:rPr>
        <w:t>. (201</w:t>
      </w:r>
      <w:r w:rsidR="009A7330" w:rsidRPr="009A7330">
        <w:rPr>
          <w:lang w:val="el-GR"/>
        </w:rPr>
        <w:t>3</w:t>
      </w:r>
      <w:r w:rsidRPr="00DA4172">
        <w:rPr>
          <w:lang w:val="el-GR"/>
        </w:rPr>
        <w:t xml:space="preserve">) </w:t>
      </w:r>
      <w:r>
        <w:rPr>
          <w:lang w:val="el-GR"/>
        </w:rPr>
        <w:t xml:space="preserve">Διαγνωστικές Προσεγγίσεις στη Λογοθεραπεία </w:t>
      </w:r>
    </w:p>
    <w:p w14:paraId="3B606EB1" w14:textId="77777777" w:rsidR="00DA4172" w:rsidRPr="00DA4172" w:rsidRDefault="00DA4172" w:rsidP="00DA4172">
      <w:pPr>
        <w:spacing w:after="120" w:line="360" w:lineRule="auto"/>
        <w:jc w:val="both"/>
        <w:rPr>
          <w:lang w:val="el-GR"/>
        </w:rPr>
      </w:pPr>
    </w:p>
    <w:p w14:paraId="7D835C81" w14:textId="77777777" w:rsidR="00146CE2" w:rsidRPr="00BF0161" w:rsidRDefault="00DB0AA3">
      <w:pPr>
        <w:spacing w:after="120" w:line="360" w:lineRule="auto"/>
        <w:jc w:val="both"/>
        <w:rPr>
          <w:lang w:val="el-GR"/>
        </w:rPr>
      </w:pPr>
      <w:r w:rsidRPr="00BF0161">
        <w:rPr>
          <w:lang w:val="el-GR"/>
        </w:rPr>
        <w:t>Οι τρείς λειτουργίες του λάρυγγα κατά σειρά σπουδαιότητας είναι α) η προστασία της κατώτερης αεροφόρας οδού, β) η αναπνοή και γ) η φώνηση (</w:t>
      </w:r>
      <w:r>
        <w:rPr>
          <w:lang w:val="en-US"/>
        </w:rPr>
        <w:t>Ballenger</w:t>
      </w:r>
      <w:r w:rsidRPr="00BF0161">
        <w:rPr>
          <w:lang w:val="el-GR"/>
        </w:rPr>
        <w:t xml:space="preserve"> &amp; </w:t>
      </w:r>
      <w:r>
        <w:rPr>
          <w:lang w:val="en-US"/>
        </w:rPr>
        <w:t>Snow</w:t>
      </w:r>
      <w:r w:rsidRPr="00BF0161">
        <w:rPr>
          <w:lang w:val="el-GR"/>
        </w:rPr>
        <w:t>, 1998).</w:t>
      </w:r>
    </w:p>
    <w:p w14:paraId="3380C9C2" w14:textId="77777777" w:rsidR="00146CE2" w:rsidRPr="00BF0161" w:rsidRDefault="00DB0AA3">
      <w:pPr>
        <w:spacing w:after="120" w:line="360" w:lineRule="auto"/>
        <w:jc w:val="both"/>
        <w:rPr>
          <w:lang w:val="el-GR"/>
        </w:rPr>
      </w:pPr>
      <w:r w:rsidRPr="00BF0161">
        <w:rPr>
          <w:lang w:val="el-GR"/>
        </w:rPr>
        <w:t xml:space="preserve">Η προστασία της κατώτερης αεροφόρου οδού επιτελείται με τους παρακάτω μηχανισμούς: </w:t>
      </w:r>
    </w:p>
    <w:p w14:paraId="6EC8EBEB" w14:textId="77777777" w:rsidR="00146CE2" w:rsidRDefault="00DB0AA3">
      <w:pPr>
        <w:pStyle w:val="a5"/>
        <w:numPr>
          <w:ilvl w:val="0"/>
          <w:numId w:val="17"/>
        </w:numPr>
        <w:spacing w:after="120" w:line="360" w:lineRule="auto"/>
        <w:jc w:val="both"/>
        <w:rPr>
          <w:rFonts w:ascii="Times New Roman" w:hAnsi="Times New Roman"/>
          <w:sz w:val="24"/>
          <w:szCs w:val="24"/>
        </w:rPr>
      </w:pPr>
      <w:r>
        <w:rPr>
          <w:rFonts w:ascii="Times New Roman" w:hAnsi="Times New Roman"/>
          <w:sz w:val="24"/>
          <w:szCs w:val="24"/>
        </w:rPr>
        <w:t>Σύγκλ</w:t>
      </w:r>
      <w:r w:rsidR="00696434">
        <w:rPr>
          <w:rFonts w:ascii="Times New Roman" w:hAnsi="Times New Roman"/>
          <w:sz w:val="24"/>
          <w:szCs w:val="24"/>
        </w:rPr>
        <w:t>ι</w:t>
      </w:r>
      <w:r>
        <w:rPr>
          <w:rFonts w:ascii="Times New Roman" w:hAnsi="Times New Roman"/>
          <w:sz w:val="24"/>
          <w:szCs w:val="24"/>
        </w:rPr>
        <w:t xml:space="preserve">ση της λαρυγγικής εισόδου, όταν </w:t>
      </w:r>
      <w:proofErr w:type="spellStart"/>
      <w:r>
        <w:rPr>
          <w:rFonts w:ascii="Times New Roman" w:hAnsi="Times New Roman"/>
          <w:sz w:val="24"/>
          <w:szCs w:val="24"/>
        </w:rPr>
        <w:t>καταποθεί</w:t>
      </w:r>
      <w:proofErr w:type="spellEnd"/>
      <w:r>
        <w:rPr>
          <w:rFonts w:ascii="Times New Roman" w:hAnsi="Times New Roman"/>
          <w:sz w:val="24"/>
          <w:szCs w:val="24"/>
        </w:rPr>
        <w:t xml:space="preserve"> η τροφή δια της </w:t>
      </w:r>
      <w:proofErr w:type="spellStart"/>
      <w:r>
        <w:rPr>
          <w:rFonts w:ascii="Times New Roman" w:hAnsi="Times New Roman"/>
          <w:sz w:val="24"/>
          <w:szCs w:val="24"/>
        </w:rPr>
        <w:t>συμπλησιάσεως</w:t>
      </w:r>
      <w:proofErr w:type="spellEnd"/>
      <w:r>
        <w:rPr>
          <w:rFonts w:ascii="Times New Roman" w:hAnsi="Times New Roman"/>
          <w:sz w:val="24"/>
          <w:szCs w:val="24"/>
        </w:rPr>
        <w:t xml:space="preserve"> των αρυταινοεπιγλωττιδικών πτυχών.</w:t>
      </w:r>
    </w:p>
    <w:p w14:paraId="2D0F8B69" w14:textId="77777777" w:rsidR="00146CE2" w:rsidRDefault="00696434">
      <w:pPr>
        <w:pStyle w:val="a5"/>
        <w:numPr>
          <w:ilvl w:val="0"/>
          <w:numId w:val="17"/>
        </w:numPr>
        <w:spacing w:after="120" w:line="360" w:lineRule="auto"/>
        <w:jc w:val="both"/>
        <w:rPr>
          <w:rFonts w:ascii="Times New Roman" w:hAnsi="Times New Roman"/>
          <w:sz w:val="24"/>
          <w:szCs w:val="24"/>
        </w:rPr>
      </w:pPr>
      <w:r>
        <w:rPr>
          <w:rFonts w:ascii="Times New Roman" w:hAnsi="Times New Roman"/>
          <w:sz w:val="24"/>
          <w:szCs w:val="24"/>
        </w:rPr>
        <w:t>Σύγκλι</w:t>
      </w:r>
      <w:r w:rsidR="00DB0AA3">
        <w:rPr>
          <w:rFonts w:ascii="Times New Roman" w:hAnsi="Times New Roman"/>
          <w:sz w:val="24"/>
          <w:szCs w:val="24"/>
        </w:rPr>
        <w:t xml:space="preserve">ση της γλωττίδας που συνοδεύει το κλείσιμο της εισόδου του λάρυγγα. </w:t>
      </w:r>
    </w:p>
    <w:p w14:paraId="48640A7E" w14:textId="77777777" w:rsidR="00146CE2" w:rsidRDefault="00DB0AA3">
      <w:pPr>
        <w:pStyle w:val="a5"/>
        <w:numPr>
          <w:ilvl w:val="0"/>
          <w:numId w:val="17"/>
        </w:numPr>
        <w:spacing w:after="120" w:line="360" w:lineRule="auto"/>
        <w:jc w:val="both"/>
        <w:rPr>
          <w:rFonts w:ascii="Times New Roman" w:hAnsi="Times New Roman"/>
          <w:sz w:val="24"/>
          <w:szCs w:val="24"/>
        </w:rPr>
      </w:pPr>
      <w:r>
        <w:rPr>
          <w:rFonts w:ascii="Times New Roman" w:hAnsi="Times New Roman"/>
          <w:sz w:val="24"/>
          <w:szCs w:val="24"/>
        </w:rPr>
        <w:t>Κατάπαυση της αναπνοής. Συνοδεύει το κλείσιμο της εισόδου του λάρυγγα. Το φυσιολογικό αντανακλαστικό εμφανίζεται από την στιγμή της γέννησης.</w:t>
      </w:r>
    </w:p>
    <w:p w14:paraId="40F36B53" w14:textId="77777777" w:rsidR="00146CE2" w:rsidRDefault="00DB0AA3">
      <w:pPr>
        <w:pStyle w:val="a5"/>
        <w:numPr>
          <w:ilvl w:val="0"/>
          <w:numId w:val="17"/>
        </w:numPr>
        <w:spacing w:after="120" w:line="360" w:lineRule="auto"/>
        <w:jc w:val="both"/>
        <w:rPr>
          <w:rFonts w:ascii="Times New Roman" w:hAnsi="Times New Roman"/>
          <w:sz w:val="24"/>
          <w:szCs w:val="24"/>
        </w:rPr>
      </w:pPr>
      <w:r>
        <w:rPr>
          <w:rFonts w:ascii="Times New Roman" w:hAnsi="Times New Roman"/>
          <w:sz w:val="24"/>
          <w:szCs w:val="24"/>
        </w:rPr>
        <w:t>Το αντανακλαστικό του βήχα, χάρη σ’ αυτό ο λάρυγγας αποβάλει ξένα σώματα και εκκρίσεις από το τραχειοβρογχικό δένδρο προστατεύοντάς το (Γκούμας, 2012).</w:t>
      </w:r>
    </w:p>
    <w:p w14:paraId="55692A0A" w14:textId="77777777" w:rsidR="00146CE2" w:rsidRPr="00BF0161" w:rsidRDefault="00DB0AA3">
      <w:pPr>
        <w:spacing w:after="120" w:line="360" w:lineRule="auto"/>
        <w:jc w:val="both"/>
        <w:rPr>
          <w:lang w:val="el-GR"/>
        </w:rPr>
      </w:pPr>
      <w:r w:rsidRPr="00BF0161">
        <w:rPr>
          <w:lang w:val="el-GR"/>
        </w:rPr>
        <w:lastRenderedPageBreak/>
        <w:t>Ο λάρυγγας δεν αποτελεί μόνο αεροφόρο όργανο προς την τραχεία, τους βρόγχους και τους πνεύμονες, αλλά συμβάλει και στην ρύθμιση της αναπνοής. Έτσι η γλωττίδα, η οποία αποτελεί το στενότερο μέρος του αναπνευστικού συστήματος, κατά την ήρεμη αναπνοή ανοίγει, φτάνοντας στο μέγιστο του ανοίγματός της κατά την βαθιά εισπνοή ή σε καταστάσεις έλλειψης οξυγόνου. Αντίθετα, κατά την φυσιολογική εκπνοή στενεύει.</w:t>
      </w:r>
    </w:p>
    <w:p w14:paraId="3E7EA823" w14:textId="77777777" w:rsidR="00146CE2" w:rsidRPr="00BF0161" w:rsidRDefault="00DB0AA3">
      <w:pPr>
        <w:spacing w:after="120" w:line="360" w:lineRule="auto"/>
        <w:jc w:val="both"/>
        <w:rPr>
          <w:lang w:val="el-GR"/>
        </w:rPr>
      </w:pPr>
      <w:r w:rsidRPr="00BF0161">
        <w:rPr>
          <w:lang w:val="el-GR"/>
        </w:rPr>
        <w:t xml:space="preserve">Ο λάρυγγας εκτός από τις παραπάνω λειτουργίες του, συμβάλει ενεργά και στη διαδικασία της φώνησης. Δρα ως δονητής με κύριο στοιχείο τις γνήσιες φωνητικές χορδές. Αυτές κινούνται προς τα πλάγια και όχι με την κατεύθυνση του αέρα. Αυτό γίνεται όταν οι φωνητικές χορδές είναι κλειστές, η πίεση του εκπνεόμενου αέρα από κάτω, σπρώχνει τις φωνητικές πτυχές και τις ανοίγει στιγμιαία, επιτρέποντας έτσι τη γρήγορη ροή αέρα μεταξύ των </w:t>
      </w:r>
      <w:proofErr w:type="spellStart"/>
      <w:r w:rsidRPr="00BF0161">
        <w:rPr>
          <w:lang w:val="el-GR"/>
        </w:rPr>
        <w:t>χειλέων</w:t>
      </w:r>
      <w:proofErr w:type="spellEnd"/>
      <w:r w:rsidRPr="00BF0161">
        <w:rPr>
          <w:lang w:val="el-GR"/>
        </w:rPr>
        <w:t xml:space="preserve"> των φωνητικών χορδών. Η γρήγορη ροή του αέρα δημιουργεί ένα μικρό κενό μεταξύ των φωνητικών χορδών, το οποίο τις έλκει και πάλι μεταξύ τους και ξανακλείνουν. Αυτή η διαδικασία επαναλαμβάνεται εκ νέου, σχηματίζοντας πάνω από τις γνήσιες φωνητικές χορδές ρεύμα αέρα, το οποίο χαρακτηρίζεται από περιοχές πυκνώσεων και αραιώσεων που παρά</w:t>
      </w:r>
      <w:r w:rsidRPr="00BF0161">
        <w:rPr>
          <w:lang w:val="el-GR"/>
        </w:rPr>
        <w:lastRenderedPageBreak/>
        <w:t>γουν τα ηχητικά κύματα. Για την παραγωγή της φωνής απαιτούνται ο λάρυγγας, η δημιουργία ρεύματος αέρα από τους πνεύμονες, τους βρόγχους και την τραχεία, ο σχηματισμός των πυκνώσεων και αραιώσεων πάνω από τις φωνητικές χορδές με το περιοδικό άνοιγμα- κλείσιμο των φωνητ</w:t>
      </w:r>
      <w:r w:rsidR="00FD2D86">
        <w:rPr>
          <w:lang w:val="el-GR"/>
        </w:rPr>
        <w:t>ικών χορδών και η ύπαρξη ηχείων</w:t>
      </w:r>
      <w:r w:rsidRPr="00BF0161">
        <w:rPr>
          <w:lang w:val="el-GR"/>
        </w:rPr>
        <w:t>,</w:t>
      </w:r>
      <w:r w:rsidR="00FD2D86">
        <w:rPr>
          <w:lang w:val="el-GR"/>
        </w:rPr>
        <w:t xml:space="preserve"> </w:t>
      </w:r>
      <w:r w:rsidRPr="00BF0161">
        <w:rPr>
          <w:lang w:val="el-GR"/>
        </w:rPr>
        <w:t>ό</w:t>
      </w:r>
      <w:r w:rsidR="00FD2D86">
        <w:rPr>
          <w:lang w:val="el-GR"/>
        </w:rPr>
        <w:t>πως η γλώσσα, η  υπερώα, η μύτη</w:t>
      </w:r>
      <w:r w:rsidRPr="00BF0161">
        <w:rPr>
          <w:lang w:val="el-GR"/>
        </w:rPr>
        <w:t xml:space="preserve">, οι παραρρίνιοι κόλποι, ο φάρυγγας, τα χείλη </w:t>
      </w:r>
      <w:proofErr w:type="spellStart"/>
      <w:r w:rsidRPr="00BF0161">
        <w:rPr>
          <w:lang w:val="el-GR"/>
        </w:rPr>
        <w:t>κτλ</w:t>
      </w:r>
      <w:proofErr w:type="spellEnd"/>
      <w:r w:rsidRPr="00BF0161">
        <w:rPr>
          <w:lang w:val="el-GR"/>
        </w:rPr>
        <w:t xml:space="preserve"> για την καλύτερη αντήχηση του ήχου.</w:t>
      </w:r>
    </w:p>
    <w:p w14:paraId="1C050CC6" w14:textId="77777777" w:rsidR="00146CE2" w:rsidRPr="00DA4172" w:rsidRDefault="00DB0AA3">
      <w:pPr>
        <w:spacing w:after="120" w:line="360" w:lineRule="auto"/>
        <w:jc w:val="both"/>
        <w:rPr>
          <w:lang w:val="el-GR"/>
        </w:rPr>
      </w:pPr>
      <w:r w:rsidRPr="00BF0161">
        <w:rPr>
          <w:lang w:val="el-GR"/>
        </w:rPr>
        <w:t>Οι ατομικές διαφορές στην φωνή, προέρχονται κυρίως από το διαφορετικό μήκος και πλάτος των φωνητικών χορδών και το διαφορετικό μέγεθος του λάρυγγα (</w:t>
      </w:r>
      <w:proofErr w:type="spellStart"/>
      <w:r w:rsidRPr="00BF0161">
        <w:rPr>
          <w:lang w:val="el-GR"/>
        </w:rPr>
        <w:t>Ζιάβρα</w:t>
      </w:r>
      <w:proofErr w:type="spellEnd"/>
      <w:r w:rsidRPr="00BF0161">
        <w:rPr>
          <w:lang w:val="el-GR"/>
        </w:rPr>
        <w:t xml:space="preserve"> &amp; Σκεύας, 2003). </w:t>
      </w:r>
    </w:p>
    <w:p w14:paraId="08C7DB67" w14:textId="77777777" w:rsidR="00E81C15" w:rsidRPr="00DA4172" w:rsidRDefault="00E81C15">
      <w:pPr>
        <w:spacing w:after="120" w:line="360" w:lineRule="auto"/>
        <w:jc w:val="both"/>
        <w:rPr>
          <w:lang w:val="el-GR"/>
        </w:rPr>
      </w:pPr>
    </w:p>
    <w:p w14:paraId="7638BF3A" w14:textId="77777777" w:rsidR="00146CE2" w:rsidRPr="00D32DA2" w:rsidRDefault="00DB0AA3" w:rsidP="00D32DA2">
      <w:pPr>
        <w:pStyle w:val="2"/>
        <w:spacing w:before="0" w:line="360" w:lineRule="auto"/>
        <w:rPr>
          <w:b/>
        </w:rPr>
      </w:pPr>
      <w:bookmarkStart w:id="13" w:name="_Toc493323959"/>
      <w:r w:rsidRPr="00D32DA2">
        <w:rPr>
          <w:b/>
        </w:rPr>
        <w:t xml:space="preserve">1.1.4  </w:t>
      </w:r>
      <w:proofErr w:type="spellStart"/>
      <w:r w:rsidRPr="00D32DA2">
        <w:rPr>
          <w:b/>
        </w:rPr>
        <w:t>Νευροανατομία</w:t>
      </w:r>
      <w:proofErr w:type="spellEnd"/>
      <w:r w:rsidRPr="00D32DA2">
        <w:rPr>
          <w:b/>
        </w:rPr>
        <w:t xml:space="preserve"> δομών κατάποσης</w:t>
      </w:r>
      <w:bookmarkEnd w:id="13"/>
    </w:p>
    <w:p w14:paraId="7A0D18D7" w14:textId="77777777" w:rsidR="00146CE2" w:rsidRPr="00BF0161" w:rsidRDefault="00DB0AA3">
      <w:pPr>
        <w:spacing w:after="120" w:line="360" w:lineRule="auto"/>
        <w:jc w:val="both"/>
        <w:rPr>
          <w:lang w:val="el-GR"/>
        </w:rPr>
      </w:pPr>
      <w:r w:rsidRPr="00BF0161">
        <w:rPr>
          <w:lang w:val="el-GR"/>
        </w:rPr>
        <w:t xml:space="preserve">Τα νεύρα που συμμετέχουν στην διαδικασία της κατάποσης είναι: </w:t>
      </w:r>
      <w:r>
        <w:rPr>
          <w:lang w:val="en-US"/>
        </w:rPr>
        <w:t>V</w:t>
      </w:r>
      <w:r w:rsidRPr="00BF0161">
        <w:rPr>
          <w:lang w:val="el-GR"/>
        </w:rPr>
        <w:t xml:space="preserve"> Τρίδυμο, </w:t>
      </w:r>
      <w:r>
        <w:rPr>
          <w:lang w:val="en-US"/>
        </w:rPr>
        <w:t>VII</w:t>
      </w:r>
      <w:r w:rsidRPr="00BF0161">
        <w:rPr>
          <w:lang w:val="el-GR"/>
        </w:rPr>
        <w:t xml:space="preserve"> Προσωπικό, </w:t>
      </w:r>
      <w:r>
        <w:rPr>
          <w:lang w:val="en-US"/>
        </w:rPr>
        <w:t>IX</w:t>
      </w:r>
      <w:r w:rsidRPr="00BF0161">
        <w:rPr>
          <w:lang w:val="el-GR"/>
        </w:rPr>
        <w:t xml:space="preserve"> Γλωσσοφαρυγγικό, Χ </w:t>
      </w:r>
      <w:proofErr w:type="spellStart"/>
      <w:r w:rsidRPr="00BF0161">
        <w:rPr>
          <w:lang w:val="el-GR"/>
        </w:rPr>
        <w:t>Πνευμονογαστρικό</w:t>
      </w:r>
      <w:proofErr w:type="spellEnd"/>
      <w:r w:rsidRPr="00BF0161">
        <w:rPr>
          <w:lang w:val="el-GR"/>
        </w:rPr>
        <w:t xml:space="preserve"> και </w:t>
      </w:r>
      <w:r>
        <w:rPr>
          <w:lang w:val="en-US"/>
        </w:rPr>
        <w:t>XII</w:t>
      </w:r>
      <w:r w:rsidRPr="00BF0161">
        <w:rPr>
          <w:lang w:val="el-GR"/>
        </w:rPr>
        <w:t xml:space="preserve"> Υπογλώσσιο.</w:t>
      </w:r>
    </w:p>
    <w:p w14:paraId="637EEB36" w14:textId="77777777" w:rsidR="00146CE2" w:rsidRPr="00BF0161" w:rsidRDefault="00DB0AA3">
      <w:pPr>
        <w:spacing w:after="120" w:line="360" w:lineRule="auto"/>
        <w:jc w:val="both"/>
        <w:rPr>
          <w:lang w:val="el-GR"/>
        </w:rPr>
      </w:pPr>
      <w:r w:rsidRPr="00BF0161">
        <w:rPr>
          <w:lang w:val="el-GR"/>
        </w:rPr>
        <w:t xml:space="preserve">Το </w:t>
      </w:r>
      <w:r w:rsidRPr="00BF0161">
        <w:rPr>
          <w:i/>
          <w:lang w:val="el-GR"/>
        </w:rPr>
        <w:t>τρίδυμο</w:t>
      </w:r>
      <w:r w:rsidRPr="00BF0161">
        <w:rPr>
          <w:lang w:val="el-GR"/>
        </w:rPr>
        <w:t xml:space="preserve"> νεύρο (</w:t>
      </w:r>
      <w:r>
        <w:rPr>
          <w:lang w:val="en-US"/>
        </w:rPr>
        <w:t>V</w:t>
      </w:r>
      <w:r w:rsidRPr="00BF0161">
        <w:rPr>
          <w:lang w:val="el-GR"/>
        </w:rPr>
        <w:t xml:space="preserve">) απαρτίζεται από τρείς κλάδους. Ο τρίτος κλάδος του παρέχει αισθητική νεύρωση στη γλώσσα (γλωσσικό νεύρο), στα κάτω φατνία, στο βλεννογόνο των παρειών και στο κάτω χείλος. Επίσης, παρέχει </w:t>
      </w:r>
      <w:r w:rsidRPr="00BF0161">
        <w:rPr>
          <w:lang w:val="el-GR"/>
        </w:rPr>
        <w:lastRenderedPageBreak/>
        <w:t>κινητική νεύρωση στους μύ</w:t>
      </w:r>
      <w:r w:rsidR="00253158" w:rsidRPr="00BF0161">
        <w:rPr>
          <w:lang w:val="el-GR"/>
        </w:rPr>
        <w:t>ε</w:t>
      </w:r>
      <w:r w:rsidRPr="00BF0161">
        <w:rPr>
          <w:lang w:val="el-GR"/>
        </w:rPr>
        <w:t>ς της μάσησης, συμπεριλαμβανομένων εκείνων με κατάφυση στην άνω και κάτω γνάθο (</w:t>
      </w:r>
      <w:r>
        <w:rPr>
          <w:lang w:val="en-US"/>
        </w:rPr>
        <w:t>Murry</w:t>
      </w:r>
      <w:r w:rsidRPr="00BF0161">
        <w:rPr>
          <w:lang w:val="el-GR"/>
        </w:rPr>
        <w:t xml:space="preserve"> &amp; </w:t>
      </w:r>
      <w:proofErr w:type="spellStart"/>
      <w:r>
        <w:rPr>
          <w:lang w:val="en-US"/>
        </w:rPr>
        <w:t>Carrau</w:t>
      </w:r>
      <w:proofErr w:type="spellEnd"/>
      <w:r w:rsidRPr="00BF0161">
        <w:rPr>
          <w:lang w:val="el-GR"/>
        </w:rPr>
        <w:t>, 2014)</w:t>
      </w:r>
    </w:p>
    <w:p w14:paraId="1712613E" w14:textId="77777777" w:rsidR="00146CE2" w:rsidRPr="00BF0161" w:rsidRDefault="00DB0AA3">
      <w:pPr>
        <w:spacing w:after="120" w:line="360" w:lineRule="auto"/>
        <w:jc w:val="both"/>
        <w:rPr>
          <w:lang w:val="el-GR"/>
        </w:rPr>
      </w:pPr>
      <w:r w:rsidRPr="00BF0161">
        <w:rPr>
          <w:lang w:val="el-GR"/>
        </w:rPr>
        <w:t xml:space="preserve">Το </w:t>
      </w:r>
      <w:r w:rsidRPr="007515A3">
        <w:rPr>
          <w:i/>
          <w:lang w:val="el-GR"/>
        </w:rPr>
        <w:t xml:space="preserve">προσωπικό </w:t>
      </w:r>
      <w:r w:rsidRPr="007515A3">
        <w:rPr>
          <w:lang w:val="el-GR"/>
        </w:rPr>
        <w:t>νεύρο</w:t>
      </w:r>
      <w:r w:rsidR="007515A3">
        <w:rPr>
          <w:lang w:val="el-GR"/>
        </w:rPr>
        <w:t xml:space="preserve"> (</w:t>
      </w:r>
      <w:r w:rsidR="007515A3">
        <w:rPr>
          <w:lang w:val="en-US"/>
        </w:rPr>
        <w:t>VII</w:t>
      </w:r>
      <w:r w:rsidR="007515A3" w:rsidRPr="007515A3">
        <w:rPr>
          <w:lang w:val="el-GR"/>
        </w:rPr>
        <w:t>)</w:t>
      </w:r>
      <w:r w:rsidRPr="007515A3">
        <w:rPr>
          <w:lang w:val="el-GR"/>
        </w:rPr>
        <w:t xml:space="preserve"> </w:t>
      </w:r>
      <w:proofErr w:type="spellStart"/>
      <w:r w:rsidRPr="00BF0161">
        <w:rPr>
          <w:lang w:val="el-GR"/>
        </w:rPr>
        <w:t>νευρώνει</w:t>
      </w:r>
      <w:proofErr w:type="spellEnd"/>
      <w:r w:rsidRPr="00BF0161">
        <w:rPr>
          <w:lang w:val="el-GR"/>
        </w:rPr>
        <w:t xml:space="preserve"> τους μύες του προσώπου, την ινιακή μοίρα του </w:t>
      </w:r>
      <w:proofErr w:type="spellStart"/>
      <w:r w:rsidRPr="00BF0161">
        <w:rPr>
          <w:lang w:val="el-GR"/>
        </w:rPr>
        <w:t>μετωποϊνιακού</w:t>
      </w:r>
      <w:proofErr w:type="spellEnd"/>
      <w:r w:rsidRPr="00BF0161">
        <w:rPr>
          <w:lang w:val="el-GR"/>
        </w:rPr>
        <w:t xml:space="preserve"> μυός, τον μυ του αναβολέα και τον οπίσθιο </w:t>
      </w:r>
      <w:proofErr w:type="spellStart"/>
      <w:r w:rsidRPr="00BF0161">
        <w:rPr>
          <w:lang w:val="el-GR"/>
        </w:rPr>
        <w:t>διγάστορα</w:t>
      </w:r>
      <w:proofErr w:type="spellEnd"/>
      <w:r w:rsidRPr="00BF0161">
        <w:rPr>
          <w:lang w:val="el-GR"/>
        </w:rPr>
        <w:t xml:space="preserve"> της κάτω γνάθου (</w:t>
      </w:r>
      <w:proofErr w:type="spellStart"/>
      <w:r>
        <w:rPr>
          <w:lang w:val="en-US"/>
        </w:rPr>
        <w:t>Turlough</w:t>
      </w:r>
      <w:proofErr w:type="spellEnd"/>
      <w:r w:rsidRPr="00BF0161">
        <w:rPr>
          <w:lang w:val="el-GR"/>
        </w:rPr>
        <w:t xml:space="preserve"> </w:t>
      </w:r>
      <w:r>
        <w:rPr>
          <w:lang w:val="en-US"/>
        </w:rPr>
        <w:t>FitzGerald</w:t>
      </w:r>
      <w:r w:rsidRPr="00BF0161">
        <w:rPr>
          <w:lang w:val="el-GR"/>
        </w:rPr>
        <w:t xml:space="preserve">, </w:t>
      </w:r>
      <w:proofErr w:type="spellStart"/>
      <w:r>
        <w:rPr>
          <w:lang w:val="en-US"/>
        </w:rPr>
        <w:t>Gruener</w:t>
      </w:r>
      <w:proofErr w:type="spellEnd"/>
      <w:r w:rsidRPr="00BF0161">
        <w:rPr>
          <w:lang w:val="el-GR"/>
        </w:rPr>
        <w:t xml:space="preserve"> &amp; </w:t>
      </w:r>
      <w:proofErr w:type="spellStart"/>
      <w:r>
        <w:rPr>
          <w:lang w:val="en-US"/>
        </w:rPr>
        <w:t>Mtui</w:t>
      </w:r>
      <w:proofErr w:type="spellEnd"/>
      <w:r w:rsidRPr="00BF0161">
        <w:rPr>
          <w:lang w:val="el-GR"/>
        </w:rPr>
        <w:t>, 2009)</w:t>
      </w:r>
    </w:p>
    <w:p w14:paraId="37294D35" w14:textId="77777777" w:rsidR="00146CE2" w:rsidRPr="00BF0161" w:rsidRDefault="00DB0AA3">
      <w:pPr>
        <w:spacing w:after="120" w:line="360" w:lineRule="auto"/>
        <w:jc w:val="both"/>
        <w:rPr>
          <w:lang w:val="el-GR"/>
        </w:rPr>
      </w:pPr>
      <w:r w:rsidRPr="00BF0161">
        <w:rPr>
          <w:lang w:val="el-GR"/>
        </w:rPr>
        <w:t xml:space="preserve">Το </w:t>
      </w:r>
      <w:r w:rsidRPr="00BF0161">
        <w:rPr>
          <w:i/>
          <w:lang w:val="el-GR"/>
        </w:rPr>
        <w:t>γλωσσοφαρυγγικό</w:t>
      </w:r>
      <w:r w:rsidRPr="00BF0161">
        <w:rPr>
          <w:lang w:val="el-GR"/>
        </w:rPr>
        <w:t xml:space="preserve"> νεύρο (</w:t>
      </w:r>
      <w:r>
        <w:rPr>
          <w:lang w:val="en-US"/>
        </w:rPr>
        <w:t>IX</w:t>
      </w:r>
      <w:r w:rsidRPr="00BF0161">
        <w:rPr>
          <w:lang w:val="el-GR"/>
        </w:rPr>
        <w:t xml:space="preserve">) παρέχει αισθητική νεύρωση στο </w:t>
      </w:r>
      <w:proofErr w:type="spellStart"/>
      <w:r w:rsidRPr="00BF0161">
        <w:rPr>
          <w:lang w:val="el-GR"/>
        </w:rPr>
        <w:t>στοματοφάρυγγα</w:t>
      </w:r>
      <w:proofErr w:type="spellEnd"/>
      <w:r w:rsidRPr="00BF0161">
        <w:rPr>
          <w:lang w:val="el-GR"/>
        </w:rPr>
        <w:t xml:space="preserve"> και στη βάση της γλώσσας, καθώς και τους υποδοχείς της γεύσης στη βάση της  γλώσσας. Η κινητική του </w:t>
      </w:r>
      <w:r w:rsidR="00253158" w:rsidRPr="00BF0161">
        <w:rPr>
          <w:lang w:val="el-GR"/>
        </w:rPr>
        <w:t xml:space="preserve">μοίρα τροφοδοτεί τον </w:t>
      </w:r>
      <w:proofErr w:type="spellStart"/>
      <w:r w:rsidR="00253158" w:rsidRPr="00BF0161">
        <w:rPr>
          <w:lang w:val="el-GR"/>
        </w:rPr>
        <w:t>βελονοφαρυγ</w:t>
      </w:r>
      <w:r w:rsidRPr="00BF0161">
        <w:rPr>
          <w:lang w:val="el-GR"/>
        </w:rPr>
        <w:t>γικό</w:t>
      </w:r>
      <w:proofErr w:type="spellEnd"/>
      <w:r w:rsidRPr="00BF0161">
        <w:rPr>
          <w:lang w:val="el-GR"/>
        </w:rPr>
        <w:t xml:space="preserve"> μυ (</w:t>
      </w:r>
      <w:r>
        <w:rPr>
          <w:lang w:val="en-US"/>
        </w:rPr>
        <w:t>Murry</w:t>
      </w:r>
      <w:r w:rsidRPr="00BF0161">
        <w:rPr>
          <w:lang w:val="el-GR"/>
        </w:rPr>
        <w:t xml:space="preserve"> &amp; </w:t>
      </w:r>
      <w:proofErr w:type="spellStart"/>
      <w:r>
        <w:rPr>
          <w:lang w:val="en-US"/>
        </w:rPr>
        <w:t>Carrau</w:t>
      </w:r>
      <w:proofErr w:type="spellEnd"/>
      <w:r w:rsidRPr="00BF0161">
        <w:rPr>
          <w:lang w:val="el-GR"/>
        </w:rPr>
        <w:t>, 2014).</w:t>
      </w:r>
    </w:p>
    <w:p w14:paraId="4683C13F" w14:textId="77777777" w:rsidR="00146CE2" w:rsidRPr="00BF0161" w:rsidRDefault="00DB0AA3">
      <w:pPr>
        <w:spacing w:after="120" w:line="360" w:lineRule="auto"/>
        <w:jc w:val="both"/>
        <w:rPr>
          <w:lang w:val="el-GR"/>
        </w:rPr>
      </w:pPr>
      <w:r w:rsidRPr="00BF0161">
        <w:rPr>
          <w:lang w:val="el-GR"/>
        </w:rPr>
        <w:t xml:space="preserve">Το </w:t>
      </w:r>
      <w:proofErr w:type="spellStart"/>
      <w:r w:rsidRPr="00BF0161">
        <w:rPr>
          <w:i/>
          <w:lang w:val="el-GR"/>
        </w:rPr>
        <w:t>πνευμονογαστρικό</w:t>
      </w:r>
      <w:proofErr w:type="spellEnd"/>
      <w:r w:rsidRPr="00BF0161">
        <w:rPr>
          <w:lang w:val="el-GR"/>
        </w:rPr>
        <w:t xml:space="preserve"> νεύρο (</w:t>
      </w:r>
      <w:r>
        <w:rPr>
          <w:lang w:val="en-US"/>
        </w:rPr>
        <w:t>X</w:t>
      </w:r>
      <w:r w:rsidRPr="00BF0161">
        <w:rPr>
          <w:lang w:val="el-GR"/>
        </w:rPr>
        <w:t>) παρέχει κινητική και αισθητική νεύρωση στην υπερώα, στον φάρυγγα</w:t>
      </w:r>
      <w:r w:rsidR="00694B95" w:rsidRPr="00694B95">
        <w:rPr>
          <w:lang w:val="el-GR"/>
        </w:rPr>
        <w:t>,</w:t>
      </w:r>
      <w:r w:rsidRPr="00BF0161">
        <w:rPr>
          <w:lang w:val="el-GR"/>
        </w:rPr>
        <w:t xml:space="preserve"> στον οισοφάγο, στο στομάχι, στην αναπνευστική οδό και σχετίζεται στενά με την ρύθμιση της αρτηριακής πίεσης (</w:t>
      </w:r>
      <w:r>
        <w:rPr>
          <w:lang w:val="en-US"/>
        </w:rPr>
        <w:t>Murry</w:t>
      </w:r>
      <w:r w:rsidRPr="00BF0161">
        <w:rPr>
          <w:lang w:val="el-GR"/>
        </w:rPr>
        <w:t xml:space="preserve"> &amp; </w:t>
      </w:r>
      <w:proofErr w:type="spellStart"/>
      <w:r>
        <w:rPr>
          <w:lang w:val="en-US"/>
        </w:rPr>
        <w:t>Carrau</w:t>
      </w:r>
      <w:proofErr w:type="spellEnd"/>
      <w:r w:rsidRPr="00BF0161">
        <w:rPr>
          <w:lang w:val="el-GR"/>
        </w:rPr>
        <w:t>, 2014).</w:t>
      </w:r>
    </w:p>
    <w:p w14:paraId="4799634E" w14:textId="77777777" w:rsidR="00754517" w:rsidRPr="007D60E0" w:rsidRDefault="00DB0AA3" w:rsidP="000264BA">
      <w:pPr>
        <w:spacing w:after="120" w:line="360" w:lineRule="auto"/>
        <w:jc w:val="both"/>
        <w:rPr>
          <w:lang w:val="el-GR"/>
        </w:rPr>
      </w:pPr>
      <w:r w:rsidRPr="00BF0161">
        <w:rPr>
          <w:lang w:val="el-GR"/>
        </w:rPr>
        <w:t xml:space="preserve">Το </w:t>
      </w:r>
      <w:r w:rsidRPr="00BF0161">
        <w:rPr>
          <w:i/>
          <w:lang w:val="el-GR"/>
        </w:rPr>
        <w:t>υπογλώσσιο</w:t>
      </w:r>
      <w:r w:rsidRPr="00BF0161">
        <w:rPr>
          <w:lang w:val="el-GR"/>
        </w:rPr>
        <w:t xml:space="preserve"> νεύρο (</w:t>
      </w:r>
      <w:r>
        <w:rPr>
          <w:lang w:val="en-US"/>
        </w:rPr>
        <w:t>XII</w:t>
      </w:r>
      <w:r w:rsidRPr="00BF0161">
        <w:rPr>
          <w:lang w:val="el-GR"/>
        </w:rPr>
        <w:t xml:space="preserve">) περιέχει σωματικές απαγωγές ίνες για τη νεύρωση των </w:t>
      </w:r>
      <w:proofErr w:type="spellStart"/>
      <w:r w:rsidRPr="00BF0161">
        <w:rPr>
          <w:lang w:val="el-GR"/>
        </w:rPr>
        <w:t>ετερόχθονων</w:t>
      </w:r>
      <w:proofErr w:type="spellEnd"/>
      <w:r w:rsidRPr="00BF0161">
        <w:rPr>
          <w:lang w:val="el-GR"/>
        </w:rPr>
        <w:t xml:space="preserve"> και αυτόχθονων μυών τις γλώσσας. Διασχίζει τον </w:t>
      </w:r>
      <w:proofErr w:type="spellStart"/>
      <w:r w:rsidRPr="00BF0161">
        <w:rPr>
          <w:lang w:val="el-GR"/>
        </w:rPr>
        <w:t>υπαραχνοειδή</w:t>
      </w:r>
      <w:proofErr w:type="spellEnd"/>
      <w:r w:rsidRPr="00BF0161">
        <w:rPr>
          <w:lang w:val="el-GR"/>
        </w:rPr>
        <w:t xml:space="preserve"> χώρο και εξέρχεται από το κρανίο μέσω του έσω του υπογλώσσιου πόρου, όπου πορεύεται πλησίον του </w:t>
      </w:r>
      <w:proofErr w:type="spellStart"/>
      <w:r w:rsidRPr="00BF0161">
        <w:rPr>
          <w:lang w:val="el-GR"/>
        </w:rPr>
        <w:t>πνευμονογαστρικού</w:t>
      </w:r>
      <w:proofErr w:type="spellEnd"/>
      <w:r w:rsidRPr="00BF0161">
        <w:rPr>
          <w:lang w:val="el-GR"/>
        </w:rPr>
        <w:t xml:space="preserve"> και της </w:t>
      </w:r>
      <w:proofErr w:type="spellStart"/>
      <w:r w:rsidRPr="00BF0161">
        <w:rPr>
          <w:lang w:val="el-GR"/>
        </w:rPr>
        <w:lastRenderedPageBreak/>
        <w:t>νωτιαίας</w:t>
      </w:r>
      <w:proofErr w:type="spellEnd"/>
      <w:r w:rsidRPr="00BF0161">
        <w:rPr>
          <w:lang w:val="el-GR"/>
        </w:rPr>
        <w:t xml:space="preserve"> ρίζας του παραπληρωματικού νεύρου (</w:t>
      </w:r>
      <w:proofErr w:type="spellStart"/>
      <w:r>
        <w:rPr>
          <w:lang w:val="en-US"/>
        </w:rPr>
        <w:t>Turlough</w:t>
      </w:r>
      <w:proofErr w:type="spellEnd"/>
      <w:r w:rsidRPr="00BF0161">
        <w:rPr>
          <w:lang w:val="el-GR"/>
        </w:rPr>
        <w:t xml:space="preserve"> </w:t>
      </w:r>
      <w:r>
        <w:rPr>
          <w:lang w:val="en-US"/>
        </w:rPr>
        <w:t>FitzGerald</w:t>
      </w:r>
      <w:r w:rsidRPr="00BF0161">
        <w:rPr>
          <w:lang w:val="el-GR"/>
        </w:rPr>
        <w:t xml:space="preserve">, </w:t>
      </w:r>
      <w:proofErr w:type="spellStart"/>
      <w:r>
        <w:rPr>
          <w:lang w:val="en-US"/>
        </w:rPr>
        <w:t>Gruener</w:t>
      </w:r>
      <w:proofErr w:type="spellEnd"/>
      <w:r w:rsidRPr="00BF0161">
        <w:rPr>
          <w:lang w:val="el-GR"/>
        </w:rPr>
        <w:t xml:space="preserve"> &amp; </w:t>
      </w:r>
      <w:proofErr w:type="spellStart"/>
      <w:r>
        <w:rPr>
          <w:lang w:val="en-US"/>
        </w:rPr>
        <w:t>Mtui</w:t>
      </w:r>
      <w:proofErr w:type="spellEnd"/>
      <w:r w:rsidRPr="00BF0161">
        <w:rPr>
          <w:lang w:val="el-GR"/>
        </w:rPr>
        <w:t>, 2009).</w:t>
      </w:r>
    </w:p>
    <w:p w14:paraId="628383DF" w14:textId="77777777" w:rsidR="007D60E0" w:rsidRDefault="007D60E0" w:rsidP="000264BA">
      <w:pPr>
        <w:spacing w:after="120" w:line="360" w:lineRule="auto"/>
        <w:jc w:val="both"/>
        <w:rPr>
          <w:b/>
          <w:sz w:val="28"/>
          <w:lang w:val="el-GR"/>
        </w:rPr>
      </w:pPr>
    </w:p>
    <w:p w14:paraId="6A66E85D" w14:textId="77777777" w:rsidR="007D60E0" w:rsidRDefault="007D60E0" w:rsidP="000264BA">
      <w:pPr>
        <w:spacing w:after="120" w:line="360" w:lineRule="auto"/>
        <w:jc w:val="both"/>
        <w:rPr>
          <w:b/>
          <w:sz w:val="28"/>
          <w:lang w:val="el-GR"/>
        </w:rPr>
      </w:pPr>
    </w:p>
    <w:p w14:paraId="08ED1646" w14:textId="77777777" w:rsidR="00146CE2" w:rsidRPr="00D32DA2" w:rsidRDefault="00DB0AA3" w:rsidP="00D32DA2">
      <w:pPr>
        <w:pStyle w:val="2"/>
        <w:spacing w:before="0" w:line="360" w:lineRule="auto"/>
        <w:rPr>
          <w:b/>
          <w:sz w:val="28"/>
        </w:rPr>
      </w:pPr>
      <w:bookmarkStart w:id="14" w:name="_Toc493323960"/>
      <w:r w:rsidRPr="00D32DA2">
        <w:rPr>
          <w:b/>
          <w:sz w:val="28"/>
        </w:rPr>
        <w:t>1.2 Ορισμοί Δυσφαγίας</w:t>
      </w:r>
      <w:bookmarkEnd w:id="14"/>
      <w:r w:rsidRPr="00D32DA2">
        <w:rPr>
          <w:b/>
          <w:sz w:val="28"/>
        </w:rPr>
        <w:tab/>
      </w:r>
    </w:p>
    <w:p w14:paraId="0A7C30C8" w14:textId="77777777" w:rsidR="00146CE2" w:rsidRPr="00BF0161" w:rsidRDefault="00DB0AA3">
      <w:pPr>
        <w:spacing w:after="120" w:line="360" w:lineRule="auto"/>
        <w:jc w:val="both"/>
        <w:rPr>
          <w:lang w:val="el-GR"/>
        </w:rPr>
      </w:pPr>
      <w:r w:rsidRPr="00BF0161">
        <w:rPr>
          <w:lang w:val="el-GR"/>
        </w:rPr>
        <w:t>Η λέξη δυσφαγία (</w:t>
      </w:r>
      <w:r>
        <w:rPr>
          <w:lang w:val="en-US"/>
        </w:rPr>
        <w:t>dysphagia</w:t>
      </w:r>
      <w:r w:rsidRPr="00BF0161">
        <w:rPr>
          <w:lang w:val="el-GR"/>
        </w:rPr>
        <w:t>) ετυμολογικά προέρχεται από τον συνδυασμό του προθήματος “</w:t>
      </w:r>
      <w:proofErr w:type="spellStart"/>
      <w:r w:rsidRPr="00BF0161">
        <w:rPr>
          <w:lang w:val="el-GR"/>
        </w:rPr>
        <w:t>δυσ</w:t>
      </w:r>
      <w:proofErr w:type="spellEnd"/>
      <w:r w:rsidRPr="00BF0161">
        <w:rPr>
          <w:lang w:val="el-GR"/>
        </w:rPr>
        <w:t>-” με τη ρίζα “</w:t>
      </w:r>
      <w:proofErr w:type="spellStart"/>
      <w:r w:rsidRPr="00BF0161">
        <w:rPr>
          <w:lang w:val="el-GR"/>
        </w:rPr>
        <w:t>φαγ</w:t>
      </w:r>
      <w:proofErr w:type="spellEnd"/>
      <w:r w:rsidRPr="00BF0161">
        <w:rPr>
          <w:lang w:val="el-GR"/>
        </w:rPr>
        <w:t>-” της αρχαίας ελληνικής και αναφέρεται σε διαταραχή ή δυσκολία της κατάποσης (</w:t>
      </w:r>
      <w:proofErr w:type="spellStart"/>
      <w:r>
        <w:rPr>
          <w:lang w:val="en-US"/>
        </w:rPr>
        <w:t>Groher</w:t>
      </w:r>
      <w:proofErr w:type="spellEnd"/>
      <w:r w:rsidRPr="00BF0161">
        <w:rPr>
          <w:lang w:val="el-GR"/>
        </w:rPr>
        <w:t xml:space="preserve"> &amp; </w:t>
      </w:r>
      <w:proofErr w:type="spellStart"/>
      <w:r>
        <w:rPr>
          <w:lang w:val="en-US"/>
        </w:rPr>
        <w:t>Crary</w:t>
      </w:r>
      <w:proofErr w:type="spellEnd"/>
      <w:r w:rsidRPr="00BF0161">
        <w:rPr>
          <w:lang w:val="el-GR"/>
        </w:rPr>
        <w:t>, 2015).  Για πολλούς  κλινικούς είναι κοινά αποδεκτό ότι η δυσφαγία συμπεριλαμβάνει διαταραχές αισθητικότητας, κινητικότητας, έκκρισης σιέλου, παραγωγής γαστρικών υγρών και έλλειψη επιθυμίας σίτισης, όπως σημειώνεται από την Παπαδοπούλου (2014).  Κατά καιρούς πολλοί επιστήμονες έχουν επιχειρήσει να ορίσουν την έννοια της δυσφ</w:t>
      </w:r>
      <w:r w:rsidR="00384573" w:rsidRPr="00BF0161">
        <w:rPr>
          <w:lang w:val="el-GR"/>
        </w:rPr>
        <w:t>αγίας, κάποιοι από αυτούς</w:t>
      </w:r>
      <w:r w:rsidRPr="00BF0161">
        <w:rPr>
          <w:lang w:val="el-GR"/>
        </w:rPr>
        <w:t xml:space="preserve">  είναι οι εξής: </w:t>
      </w:r>
    </w:p>
    <w:p w14:paraId="596828B8" w14:textId="77777777" w:rsidR="00146CE2" w:rsidRPr="00BF0161" w:rsidRDefault="00DB0AA3">
      <w:pPr>
        <w:spacing w:after="120" w:line="360" w:lineRule="auto"/>
        <w:jc w:val="both"/>
        <w:rPr>
          <w:lang w:val="el-GR"/>
        </w:rPr>
      </w:pPr>
      <w:r w:rsidRPr="00BF0161">
        <w:rPr>
          <w:lang w:val="el-GR"/>
        </w:rPr>
        <w:t xml:space="preserve">Σύμφωνα με την </w:t>
      </w:r>
      <w:proofErr w:type="spellStart"/>
      <w:r w:rsidRPr="00BF0161">
        <w:rPr>
          <w:lang w:val="el-GR"/>
        </w:rPr>
        <w:t>Πρώιου</w:t>
      </w:r>
      <w:proofErr w:type="spellEnd"/>
      <w:r w:rsidRPr="00BF0161">
        <w:rPr>
          <w:lang w:val="el-GR"/>
        </w:rPr>
        <w:t xml:space="preserve"> (2003) δυσφαγία είναι η διαταραχή της κατάποσης σε οποιοδήποτε στάδιο της. Ο </w:t>
      </w:r>
      <w:r>
        <w:rPr>
          <w:lang w:val="en-US"/>
        </w:rPr>
        <w:t>Buchholz</w:t>
      </w:r>
      <w:r w:rsidRPr="00BF0161">
        <w:rPr>
          <w:lang w:val="el-GR"/>
        </w:rPr>
        <w:t xml:space="preserve"> (1996) πραγματοποίησε μία πιο λειτουργική προσέγγιση λέγοντας ότι, η δυσφαγία είναι μία κατάσταση, </w:t>
      </w:r>
      <w:r w:rsidRPr="00BF0161">
        <w:rPr>
          <w:lang w:val="el-GR"/>
        </w:rPr>
        <w:lastRenderedPageBreak/>
        <w:t>που ως αποτέλεσμα έχει την διακοπή είτε της απόλαυσης που προσφέρει η σίτιση, είτε της εξασφάλισης των απαραίτητων συστατικών θρέψης και ενυδάτωσης. Ακόμη, ο ίδιος συμπληρώνει ότι η διαδικασία της σίτισης είναι ένας παράγοντας για την ευχαρίστηση της ζωής και συμβάλει στην κοινωνική ενσωμάτωση.</w:t>
      </w:r>
    </w:p>
    <w:p w14:paraId="0BEF004D" w14:textId="77777777" w:rsidR="00146CE2" w:rsidRPr="00BF0161" w:rsidRDefault="00DB0AA3">
      <w:pPr>
        <w:spacing w:after="120" w:line="360" w:lineRule="auto"/>
        <w:jc w:val="both"/>
        <w:rPr>
          <w:lang w:val="el-GR"/>
        </w:rPr>
      </w:pPr>
      <w:r w:rsidRPr="00BF0161">
        <w:rPr>
          <w:lang w:val="el-GR"/>
        </w:rPr>
        <w:t>Στην παρούσα πτυχιακή</w:t>
      </w:r>
      <w:r w:rsidR="009C669C" w:rsidRPr="00BF0161">
        <w:rPr>
          <w:lang w:val="el-GR"/>
        </w:rPr>
        <w:t xml:space="preserve"> εργασία ως δυσφαγία θα θεωρείται</w:t>
      </w:r>
      <w:r w:rsidRPr="00BF0161">
        <w:rPr>
          <w:lang w:val="el-GR"/>
        </w:rPr>
        <w:t xml:space="preserve"> η καθυστέρηση ή η λάθος κατεύθυνση μεταφοράς της στερεάς τροφής ή/και των υγρών από την στοματική κοιλότητα στο στομάχι (</w:t>
      </w:r>
      <w:proofErr w:type="spellStart"/>
      <w:r>
        <w:rPr>
          <w:lang w:val="en-US"/>
        </w:rPr>
        <w:t>Groher</w:t>
      </w:r>
      <w:proofErr w:type="spellEnd"/>
      <w:r w:rsidRPr="00BF0161">
        <w:rPr>
          <w:lang w:val="el-GR"/>
        </w:rPr>
        <w:t xml:space="preserve"> &amp; </w:t>
      </w:r>
      <w:proofErr w:type="spellStart"/>
      <w:r>
        <w:rPr>
          <w:lang w:val="en-US"/>
        </w:rPr>
        <w:t>Crary</w:t>
      </w:r>
      <w:proofErr w:type="spellEnd"/>
      <w:r w:rsidRPr="00BF0161">
        <w:rPr>
          <w:lang w:val="el-GR"/>
        </w:rPr>
        <w:t xml:space="preserve">, 2003). </w:t>
      </w:r>
    </w:p>
    <w:p w14:paraId="6AEB3B33" w14:textId="77777777" w:rsidR="00146CE2" w:rsidRPr="00BF0161" w:rsidRDefault="00754517" w:rsidP="00754517">
      <w:pPr>
        <w:tabs>
          <w:tab w:val="left" w:pos="5340"/>
        </w:tabs>
        <w:spacing w:after="120" w:line="360" w:lineRule="auto"/>
        <w:jc w:val="both"/>
        <w:rPr>
          <w:b/>
          <w:lang w:val="el-GR"/>
        </w:rPr>
      </w:pPr>
      <w:r>
        <w:rPr>
          <w:b/>
          <w:lang w:val="el-GR"/>
        </w:rPr>
        <w:tab/>
      </w:r>
    </w:p>
    <w:p w14:paraId="5D4AFA54" w14:textId="77777777" w:rsidR="00146CE2" w:rsidRPr="00D32DA2" w:rsidRDefault="00DB0AA3" w:rsidP="00D32DA2">
      <w:pPr>
        <w:pStyle w:val="2"/>
        <w:spacing w:before="0" w:line="360" w:lineRule="auto"/>
        <w:rPr>
          <w:b/>
        </w:rPr>
      </w:pPr>
      <w:bookmarkStart w:id="15" w:name="_Toc493323961"/>
      <w:r w:rsidRPr="00D32DA2">
        <w:rPr>
          <w:b/>
        </w:rPr>
        <w:t>1.2.1 Χρήσιμοι Ορισμοί</w:t>
      </w:r>
      <w:bookmarkEnd w:id="15"/>
    </w:p>
    <w:p w14:paraId="20724A73" w14:textId="77777777" w:rsidR="00146CE2" w:rsidRPr="00BF0161" w:rsidRDefault="00DB0AA3">
      <w:pPr>
        <w:spacing w:after="120" w:line="360" w:lineRule="auto"/>
        <w:jc w:val="both"/>
        <w:rPr>
          <w:lang w:val="el-GR"/>
        </w:rPr>
      </w:pPr>
      <w:r w:rsidRPr="00BF0161">
        <w:rPr>
          <w:lang w:val="el-GR"/>
        </w:rPr>
        <w:t>Με σκοπό την καλύτερη κατανόηση του κειμένου και της ίδιας της διαταραχής παρατίθενται κάποιοι περαιτέρω ορισμοί (</w:t>
      </w:r>
      <w:proofErr w:type="spellStart"/>
      <w:r>
        <w:rPr>
          <w:lang w:val="en-US"/>
        </w:rPr>
        <w:t>Bigenzahn</w:t>
      </w:r>
      <w:proofErr w:type="spellEnd"/>
      <w:r w:rsidRPr="00BF0161">
        <w:rPr>
          <w:lang w:val="el-GR"/>
        </w:rPr>
        <w:t xml:space="preserve"> &amp; </w:t>
      </w:r>
      <w:proofErr w:type="spellStart"/>
      <w:r>
        <w:rPr>
          <w:lang w:val="en-US"/>
        </w:rPr>
        <w:t>Denk</w:t>
      </w:r>
      <w:proofErr w:type="spellEnd"/>
      <w:r w:rsidRPr="00BF0161">
        <w:rPr>
          <w:lang w:val="el-GR"/>
        </w:rPr>
        <w:t>, 2007):</w:t>
      </w:r>
    </w:p>
    <w:p w14:paraId="5B9EE0C3" w14:textId="77777777" w:rsidR="00146CE2" w:rsidRDefault="00DB0AA3">
      <w:pPr>
        <w:pStyle w:val="a5"/>
        <w:numPr>
          <w:ilvl w:val="0"/>
          <w:numId w:val="1"/>
        </w:numPr>
        <w:spacing w:after="120" w:line="360" w:lineRule="auto"/>
        <w:jc w:val="both"/>
        <w:rPr>
          <w:rFonts w:ascii="Times New Roman" w:hAnsi="Times New Roman"/>
          <w:i/>
          <w:sz w:val="24"/>
        </w:rPr>
      </w:pPr>
      <w:r>
        <w:rPr>
          <w:rFonts w:ascii="Times New Roman" w:hAnsi="Times New Roman"/>
          <w:sz w:val="24"/>
        </w:rPr>
        <w:t>Εισρόφηση (</w:t>
      </w:r>
      <w:r>
        <w:rPr>
          <w:rFonts w:ascii="Times New Roman" w:hAnsi="Times New Roman"/>
          <w:sz w:val="24"/>
          <w:lang w:val="en-US"/>
        </w:rPr>
        <w:t>Aspiration</w:t>
      </w:r>
      <w:r>
        <w:rPr>
          <w:rFonts w:ascii="Times New Roman" w:hAnsi="Times New Roman"/>
          <w:sz w:val="24"/>
        </w:rPr>
        <w:t>): «</w:t>
      </w:r>
      <w:r>
        <w:rPr>
          <w:rFonts w:ascii="Times New Roman" w:hAnsi="Times New Roman"/>
          <w:i/>
          <w:sz w:val="24"/>
        </w:rPr>
        <w:t>η είσοδος τροφής ή σιέλου στην αναπνευστική οδό κάτω από το επίπεδο της γλωττίδας»</w:t>
      </w:r>
    </w:p>
    <w:p w14:paraId="79218183" w14:textId="77777777" w:rsidR="00146CE2" w:rsidRDefault="00DB0AA3">
      <w:pPr>
        <w:pStyle w:val="a5"/>
        <w:numPr>
          <w:ilvl w:val="0"/>
          <w:numId w:val="1"/>
        </w:numPr>
        <w:spacing w:after="120" w:line="360" w:lineRule="auto"/>
        <w:jc w:val="both"/>
        <w:rPr>
          <w:rFonts w:ascii="Times New Roman" w:hAnsi="Times New Roman"/>
          <w:i/>
          <w:sz w:val="24"/>
        </w:rPr>
      </w:pPr>
      <w:r>
        <w:rPr>
          <w:rFonts w:ascii="Times New Roman" w:hAnsi="Times New Roman"/>
          <w:sz w:val="24"/>
        </w:rPr>
        <w:lastRenderedPageBreak/>
        <w:t>(Λαρυγγική) Διείσδυση (</w:t>
      </w:r>
      <w:r>
        <w:rPr>
          <w:rFonts w:ascii="Times New Roman" w:hAnsi="Times New Roman"/>
          <w:sz w:val="24"/>
          <w:lang w:val="en-US"/>
        </w:rPr>
        <w:t>Laryngeal</w:t>
      </w:r>
      <w:r>
        <w:rPr>
          <w:rFonts w:ascii="Times New Roman" w:hAnsi="Times New Roman"/>
          <w:sz w:val="24"/>
        </w:rPr>
        <w:t xml:space="preserve"> </w:t>
      </w:r>
      <w:r>
        <w:rPr>
          <w:rFonts w:ascii="Times New Roman" w:hAnsi="Times New Roman"/>
          <w:sz w:val="24"/>
          <w:lang w:val="en-US"/>
        </w:rPr>
        <w:t>Penetration</w:t>
      </w:r>
      <w:r>
        <w:rPr>
          <w:rFonts w:ascii="Times New Roman" w:hAnsi="Times New Roman"/>
          <w:sz w:val="24"/>
        </w:rPr>
        <w:t xml:space="preserve">): </w:t>
      </w:r>
      <w:r>
        <w:rPr>
          <w:rFonts w:ascii="Times New Roman" w:hAnsi="Times New Roman"/>
          <w:i/>
          <w:sz w:val="24"/>
        </w:rPr>
        <w:t>«είσοδος τροφής, σιέλου ή γαστρικού υγρού στις αεροφόρους οδούς μέχρι το ύψος της γλωττίδας, δηλ. στο λαρυγγικό στόμιο»</w:t>
      </w:r>
    </w:p>
    <w:p w14:paraId="15727547" w14:textId="77777777" w:rsidR="00146CE2" w:rsidRDefault="00DB0AA3">
      <w:pPr>
        <w:pStyle w:val="a5"/>
        <w:numPr>
          <w:ilvl w:val="0"/>
          <w:numId w:val="1"/>
        </w:numPr>
        <w:spacing w:after="120" w:line="360" w:lineRule="auto"/>
        <w:jc w:val="both"/>
        <w:rPr>
          <w:rFonts w:ascii="Times New Roman" w:hAnsi="Times New Roman"/>
          <w:i/>
          <w:sz w:val="24"/>
        </w:rPr>
      </w:pPr>
      <w:r>
        <w:rPr>
          <w:rFonts w:ascii="Times New Roman" w:hAnsi="Times New Roman"/>
          <w:sz w:val="24"/>
        </w:rPr>
        <w:t>Αναγωγή (</w:t>
      </w:r>
      <w:r>
        <w:rPr>
          <w:rFonts w:ascii="Times New Roman" w:hAnsi="Times New Roman"/>
          <w:sz w:val="24"/>
          <w:lang w:val="en-US"/>
        </w:rPr>
        <w:t>Regurgitation</w:t>
      </w:r>
      <w:r>
        <w:rPr>
          <w:rFonts w:ascii="Times New Roman" w:hAnsi="Times New Roman"/>
          <w:sz w:val="24"/>
        </w:rPr>
        <w:t xml:space="preserve">): </w:t>
      </w:r>
      <w:r>
        <w:rPr>
          <w:rFonts w:ascii="Times New Roman" w:hAnsi="Times New Roman"/>
          <w:i/>
          <w:sz w:val="24"/>
        </w:rPr>
        <w:t xml:space="preserve">«παλίνδρομη ροή τμημάτων βλωμού στο φάρυγγα, λάρυγγα ή στην στοματική κοιλότητα εξαιτίας παλίνδρομων κινήσεων του οισοφάγου» </w:t>
      </w:r>
    </w:p>
    <w:p w14:paraId="6309F3D7" w14:textId="77777777" w:rsidR="00146CE2" w:rsidRDefault="00DB0AA3">
      <w:pPr>
        <w:pStyle w:val="a5"/>
        <w:numPr>
          <w:ilvl w:val="0"/>
          <w:numId w:val="1"/>
        </w:numPr>
        <w:spacing w:after="120" w:line="360" w:lineRule="auto"/>
        <w:ind w:left="714"/>
        <w:jc w:val="both"/>
        <w:rPr>
          <w:rFonts w:ascii="Times New Roman" w:hAnsi="Times New Roman"/>
          <w:i/>
          <w:sz w:val="24"/>
        </w:rPr>
      </w:pPr>
      <w:r>
        <w:rPr>
          <w:rFonts w:ascii="Times New Roman" w:hAnsi="Times New Roman"/>
          <w:sz w:val="24"/>
        </w:rPr>
        <w:t>Ρινική αναγωγή (</w:t>
      </w:r>
      <w:r>
        <w:rPr>
          <w:rFonts w:ascii="Times New Roman" w:hAnsi="Times New Roman"/>
          <w:sz w:val="24"/>
          <w:lang w:val="en-US"/>
        </w:rPr>
        <w:t>Nasal</w:t>
      </w:r>
      <w:r>
        <w:rPr>
          <w:rFonts w:ascii="Times New Roman" w:hAnsi="Times New Roman"/>
          <w:sz w:val="24"/>
        </w:rPr>
        <w:t xml:space="preserve"> </w:t>
      </w:r>
      <w:r>
        <w:rPr>
          <w:rFonts w:ascii="Times New Roman" w:hAnsi="Times New Roman"/>
          <w:sz w:val="24"/>
          <w:lang w:val="en-US"/>
        </w:rPr>
        <w:t>regurgitation</w:t>
      </w:r>
      <w:r>
        <w:rPr>
          <w:rFonts w:ascii="Times New Roman" w:hAnsi="Times New Roman"/>
          <w:sz w:val="24"/>
        </w:rPr>
        <w:t xml:space="preserve">): </w:t>
      </w:r>
      <w:r>
        <w:rPr>
          <w:rFonts w:ascii="Times New Roman" w:hAnsi="Times New Roman"/>
          <w:i/>
          <w:sz w:val="24"/>
        </w:rPr>
        <w:t xml:space="preserve">«τμήματα βλωμού φτάνουν στον ρινοφάρυγγα εξαιτίας ανεπαρκούς </w:t>
      </w:r>
      <w:proofErr w:type="spellStart"/>
      <w:r>
        <w:rPr>
          <w:rFonts w:ascii="Times New Roman" w:hAnsi="Times New Roman"/>
          <w:i/>
          <w:sz w:val="24"/>
        </w:rPr>
        <w:t>υπερωιοφαρυγγικής</w:t>
      </w:r>
      <w:proofErr w:type="spellEnd"/>
      <w:r>
        <w:rPr>
          <w:rFonts w:ascii="Times New Roman" w:hAnsi="Times New Roman"/>
          <w:i/>
          <w:sz w:val="24"/>
        </w:rPr>
        <w:t xml:space="preserve"> σύγκλεισης»</w:t>
      </w:r>
    </w:p>
    <w:p w14:paraId="0FDC7126" w14:textId="77777777" w:rsidR="00146CE2" w:rsidRDefault="00DB0AA3">
      <w:pPr>
        <w:pStyle w:val="a5"/>
        <w:numPr>
          <w:ilvl w:val="0"/>
          <w:numId w:val="1"/>
        </w:numPr>
        <w:spacing w:after="120" w:line="360" w:lineRule="auto"/>
        <w:jc w:val="both"/>
        <w:rPr>
          <w:rFonts w:ascii="Times New Roman" w:hAnsi="Times New Roman"/>
          <w:i/>
          <w:sz w:val="24"/>
        </w:rPr>
      </w:pPr>
      <w:r>
        <w:rPr>
          <w:rFonts w:ascii="Times New Roman" w:hAnsi="Times New Roman"/>
          <w:sz w:val="24"/>
        </w:rPr>
        <w:t>Κατακράτηση (</w:t>
      </w:r>
      <w:r>
        <w:rPr>
          <w:rFonts w:ascii="Times New Roman" w:hAnsi="Times New Roman"/>
          <w:sz w:val="24"/>
          <w:lang w:val="en-US"/>
        </w:rPr>
        <w:t>Retention</w:t>
      </w:r>
      <w:r>
        <w:rPr>
          <w:rFonts w:ascii="Times New Roman" w:hAnsi="Times New Roman"/>
          <w:sz w:val="24"/>
        </w:rPr>
        <w:t xml:space="preserve">): </w:t>
      </w:r>
      <w:r>
        <w:rPr>
          <w:rFonts w:ascii="Times New Roman" w:hAnsi="Times New Roman"/>
          <w:i/>
          <w:sz w:val="24"/>
        </w:rPr>
        <w:t xml:space="preserve">«συσσώρευση υπολειμμάτων βλωμού στην στοματική κοιλότητα, στα </w:t>
      </w:r>
      <w:proofErr w:type="spellStart"/>
      <w:r>
        <w:rPr>
          <w:rFonts w:ascii="Times New Roman" w:hAnsi="Times New Roman"/>
          <w:i/>
          <w:sz w:val="24"/>
        </w:rPr>
        <w:t>γλωσσοεπιγλωττιδικά</w:t>
      </w:r>
      <w:proofErr w:type="spellEnd"/>
      <w:r>
        <w:rPr>
          <w:rFonts w:ascii="Times New Roman" w:hAnsi="Times New Roman"/>
          <w:i/>
          <w:sz w:val="24"/>
        </w:rPr>
        <w:t xml:space="preserve"> </w:t>
      </w:r>
      <w:proofErr w:type="spellStart"/>
      <w:r>
        <w:rPr>
          <w:rFonts w:ascii="Times New Roman" w:hAnsi="Times New Roman"/>
          <w:i/>
          <w:sz w:val="24"/>
        </w:rPr>
        <w:t>βοθρία</w:t>
      </w:r>
      <w:proofErr w:type="spellEnd"/>
      <w:r>
        <w:rPr>
          <w:rFonts w:ascii="Times New Roman" w:hAnsi="Times New Roman"/>
          <w:i/>
          <w:sz w:val="24"/>
        </w:rPr>
        <w:t xml:space="preserve">, στον απιοειδή βόθρο του </w:t>
      </w:r>
      <w:proofErr w:type="spellStart"/>
      <w:r>
        <w:rPr>
          <w:rFonts w:ascii="Times New Roman" w:hAnsi="Times New Roman"/>
          <w:i/>
          <w:sz w:val="24"/>
        </w:rPr>
        <w:t>υποφάρυγγα</w:t>
      </w:r>
      <w:proofErr w:type="spellEnd"/>
      <w:r>
        <w:rPr>
          <w:rFonts w:ascii="Times New Roman" w:hAnsi="Times New Roman"/>
          <w:i/>
          <w:sz w:val="24"/>
        </w:rPr>
        <w:t>»</w:t>
      </w:r>
    </w:p>
    <w:p w14:paraId="16ED83D1" w14:textId="77777777" w:rsidR="00146CE2" w:rsidRDefault="00DB0AA3">
      <w:pPr>
        <w:pStyle w:val="a5"/>
        <w:numPr>
          <w:ilvl w:val="0"/>
          <w:numId w:val="1"/>
        </w:numPr>
        <w:spacing w:after="120" w:line="360" w:lineRule="auto"/>
        <w:jc w:val="both"/>
        <w:rPr>
          <w:rFonts w:ascii="Times New Roman" w:hAnsi="Times New Roman"/>
          <w:i/>
          <w:sz w:val="24"/>
        </w:rPr>
      </w:pPr>
      <w:r>
        <w:rPr>
          <w:rFonts w:ascii="Times New Roman" w:hAnsi="Times New Roman"/>
          <w:sz w:val="24"/>
        </w:rPr>
        <w:t>Διαφυγή (</w:t>
      </w:r>
      <w:r>
        <w:rPr>
          <w:rFonts w:ascii="Times New Roman" w:hAnsi="Times New Roman"/>
          <w:sz w:val="24"/>
          <w:lang w:val="en-US"/>
        </w:rPr>
        <w:t>Leaking</w:t>
      </w:r>
      <w:r>
        <w:rPr>
          <w:rFonts w:ascii="Times New Roman" w:hAnsi="Times New Roman"/>
          <w:sz w:val="24"/>
        </w:rPr>
        <w:t xml:space="preserve">): </w:t>
      </w:r>
      <w:r>
        <w:rPr>
          <w:rFonts w:ascii="Times New Roman" w:hAnsi="Times New Roman"/>
          <w:i/>
          <w:sz w:val="24"/>
        </w:rPr>
        <w:t>«πρώιμη διολίσθηση του βλωμού προς τα πίσω στον φάρυγγα πριν από την έκλυση του αντανακλαστικού της κατάποσης»</w:t>
      </w:r>
    </w:p>
    <w:p w14:paraId="30E6A791" w14:textId="77777777" w:rsidR="00146CE2" w:rsidRDefault="00DB0AA3">
      <w:pPr>
        <w:pStyle w:val="a5"/>
        <w:numPr>
          <w:ilvl w:val="0"/>
          <w:numId w:val="1"/>
        </w:numPr>
        <w:spacing w:after="120" w:line="360" w:lineRule="auto"/>
        <w:jc w:val="both"/>
        <w:rPr>
          <w:rFonts w:ascii="Times New Roman" w:hAnsi="Times New Roman"/>
          <w:i/>
          <w:sz w:val="24"/>
        </w:rPr>
      </w:pPr>
      <w:proofErr w:type="spellStart"/>
      <w:r>
        <w:rPr>
          <w:rFonts w:ascii="Times New Roman" w:hAnsi="Times New Roman"/>
          <w:sz w:val="24"/>
        </w:rPr>
        <w:t>Τροφόρροια</w:t>
      </w:r>
      <w:proofErr w:type="spellEnd"/>
      <w:r>
        <w:rPr>
          <w:rFonts w:ascii="Times New Roman" w:hAnsi="Times New Roman"/>
          <w:sz w:val="24"/>
        </w:rPr>
        <w:t>/Σιελόρροια (</w:t>
      </w:r>
      <w:r>
        <w:rPr>
          <w:rFonts w:ascii="Times New Roman" w:hAnsi="Times New Roman"/>
          <w:sz w:val="24"/>
          <w:lang w:val="en-US"/>
        </w:rPr>
        <w:t>Drooling</w:t>
      </w:r>
      <w:r>
        <w:rPr>
          <w:rFonts w:ascii="Times New Roman" w:hAnsi="Times New Roman"/>
          <w:sz w:val="24"/>
        </w:rPr>
        <w:t xml:space="preserve">): </w:t>
      </w:r>
      <w:r w:rsidR="00967501">
        <w:rPr>
          <w:rFonts w:ascii="Times New Roman" w:hAnsi="Times New Roman"/>
          <w:i/>
          <w:sz w:val="24"/>
        </w:rPr>
        <w:t>«έξοδος τροφής/σιέλου</w:t>
      </w:r>
      <w:r>
        <w:rPr>
          <w:rFonts w:ascii="Times New Roman" w:hAnsi="Times New Roman"/>
          <w:i/>
          <w:sz w:val="24"/>
        </w:rPr>
        <w:t xml:space="preserve"> από την στοματική κοιλότητα προς τα εμπρός εξαιτίας ανεπάρκειας σύγκλεισης των </w:t>
      </w:r>
      <w:proofErr w:type="spellStart"/>
      <w:r>
        <w:rPr>
          <w:rFonts w:ascii="Times New Roman" w:hAnsi="Times New Roman"/>
          <w:i/>
          <w:sz w:val="24"/>
        </w:rPr>
        <w:t>χειλέων</w:t>
      </w:r>
      <w:proofErr w:type="spellEnd"/>
      <w:r>
        <w:rPr>
          <w:rFonts w:ascii="Times New Roman" w:hAnsi="Times New Roman"/>
          <w:i/>
          <w:sz w:val="24"/>
        </w:rPr>
        <w:t>»</w:t>
      </w:r>
    </w:p>
    <w:p w14:paraId="1BB739D3" w14:textId="77777777" w:rsidR="00146CE2" w:rsidRDefault="00DB0AA3">
      <w:pPr>
        <w:pStyle w:val="a5"/>
        <w:numPr>
          <w:ilvl w:val="0"/>
          <w:numId w:val="1"/>
        </w:numPr>
        <w:spacing w:after="120" w:line="360" w:lineRule="auto"/>
        <w:jc w:val="both"/>
        <w:rPr>
          <w:rFonts w:ascii="Times New Roman" w:hAnsi="Times New Roman"/>
          <w:i/>
          <w:sz w:val="24"/>
        </w:rPr>
      </w:pPr>
      <w:proofErr w:type="spellStart"/>
      <w:r>
        <w:rPr>
          <w:rFonts w:ascii="Times New Roman" w:hAnsi="Times New Roman"/>
          <w:sz w:val="24"/>
        </w:rPr>
        <w:t>Οδυνοφαγία</w:t>
      </w:r>
      <w:proofErr w:type="spellEnd"/>
      <w:r>
        <w:rPr>
          <w:rFonts w:ascii="Times New Roman" w:hAnsi="Times New Roman"/>
          <w:sz w:val="24"/>
        </w:rPr>
        <w:t xml:space="preserve"> (</w:t>
      </w:r>
      <w:proofErr w:type="spellStart"/>
      <w:r>
        <w:rPr>
          <w:rFonts w:ascii="Times New Roman" w:hAnsi="Times New Roman"/>
          <w:sz w:val="24"/>
          <w:lang w:val="en-US"/>
        </w:rPr>
        <w:t>Odinofagia</w:t>
      </w:r>
      <w:proofErr w:type="spellEnd"/>
      <w:r>
        <w:rPr>
          <w:rFonts w:ascii="Times New Roman" w:hAnsi="Times New Roman"/>
          <w:sz w:val="24"/>
        </w:rPr>
        <w:t xml:space="preserve">): </w:t>
      </w:r>
      <w:r>
        <w:rPr>
          <w:rFonts w:ascii="Times New Roman" w:hAnsi="Times New Roman"/>
          <w:i/>
          <w:sz w:val="24"/>
        </w:rPr>
        <w:t>«επώδυνη διαδικασία κατάποσης»</w:t>
      </w:r>
    </w:p>
    <w:p w14:paraId="5F320674" w14:textId="77777777" w:rsidR="00146CE2" w:rsidRPr="00BF0161" w:rsidRDefault="00146CE2">
      <w:pPr>
        <w:spacing w:after="120" w:line="360" w:lineRule="auto"/>
        <w:jc w:val="both"/>
        <w:rPr>
          <w:lang w:val="el-GR"/>
        </w:rPr>
      </w:pPr>
    </w:p>
    <w:p w14:paraId="1D2E6FD4" w14:textId="77777777" w:rsidR="00146CE2" w:rsidRPr="00456D14" w:rsidRDefault="00DB0AA3" w:rsidP="00456D14">
      <w:pPr>
        <w:pStyle w:val="2"/>
        <w:spacing w:before="0" w:line="360" w:lineRule="auto"/>
        <w:rPr>
          <w:b/>
        </w:rPr>
      </w:pPr>
      <w:bookmarkStart w:id="16" w:name="_Toc493323962"/>
      <w:r w:rsidRPr="00456D14">
        <w:rPr>
          <w:b/>
        </w:rPr>
        <w:t>1.2.2 Στάδια κατάποσης</w:t>
      </w:r>
      <w:bookmarkEnd w:id="16"/>
      <w:r w:rsidRPr="00456D14">
        <w:rPr>
          <w:b/>
        </w:rPr>
        <w:t xml:space="preserve"> </w:t>
      </w:r>
    </w:p>
    <w:p w14:paraId="1984C9C5" w14:textId="77777777" w:rsidR="00146CE2" w:rsidRPr="00BF0161" w:rsidRDefault="00DB0AA3">
      <w:pPr>
        <w:spacing w:after="120" w:line="360" w:lineRule="auto"/>
        <w:jc w:val="both"/>
        <w:rPr>
          <w:lang w:val="el-GR"/>
        </w:rPr>
      </w:pPr>
      <w:r w:rsidRPr="00BF0161">
        <w:rPr>
          <w:lang w:val="el-GR"/>
        </w:rPr>
        <w:t xml:space="preserve">Η κατάποση είναι μία διαδικασία που επιτελείται από όλες τις ηλικιακές ομάδες, συμπεριλαμβανομένων και των βρεφών. Πραγματοποιείται σε μικρό χρονικό διάστημα, από  8 έως 11 δευτερόλεπτα (Παπαδοπούλου, 2014) και προϋποθέτει πλήρη συγχρονισμό των απαραίτητων δομών και την άρτια λειτουργία των εγκεφαλικών νεύρων- Τρίδυμο </w:t>
      </w:r>
      <w:r>
        <w:rPr>
          <w:lang w:val="en-US"/>
        </w:rPr>
        <w:t>V</w:t>
      </w:r>
      <w:r w:rsidRPr="00BF0161">
        <w:rPr>
          <w:lang w:val="el-GR"/>
        </w:rPr>
        <w:t xml:space="preserve">, Προσωπικό </w:t>
      </w:r>
      <w:r>
        <w:rPr>
          <w:lang w:val="en-US"/>
        </w:rPr>
        <w:t>VII</w:t>
      </w:r>
      <w:r w:rsidRPr="00BF0161">
        <w:rPr>
          <w:lang w:val="el-GR"/>
        </w:rPr>
        <w:t xml:space="preserve">, Γλωσσοφαρυγγικό </w:t>
      </w:r>
      <w:r>
        <w:rPr>
          <w:lang w:val="en-US"/>
        </w:rPr>
        <w:t>IX</w:t>
      </w:r>
      <w:r w:rsidRPr="00BF0161">
        <w:rPr>
          <w:lang w:val="el-GR"/>
        </w:rPr>
        <w:t xml:space="preserve">, </w:t>
      </w:r>
      <w:proofErr w:type="spellStart"/>
      <w:r w:rsidRPr="00BF0161">
        <w:rPr>
          <w:lang w:val="el-GR"/>
        </w:rPr>
        <w:t>Πνευμονογαστρικό</w:t>
      </w:r>
      <w:proofErr w:type="spellEnd"/>
      <w:r w:rsidRPr="00BF0161">
        <w:rPr>
          <w:lang w:val="el-GR"/>
        </w:rPr>
        <w:t xml:space="preserve"> </w:t>
      </w:r>
      <w:r>
        <w:rPr>
          <w:lang w:val="en-US"/>
        </w:rPr>
        <w:t>X</w:t>
      </w:r>
      <w:r w:rsidRPr="00BF0161">
        <w:rPr>
          <w:lang w:val="el-GR"/>
        </w:rPr>
        <w:t xml:space="preserve">, Υπογλώσσιο </w:t>
      </w:r>
      <w:r>
        <w:rPr>
          <w:lang w:val="en-US"/>
        </w:rPr>
        <w:t>XII</w:t>
      </w:r>
      <w:r w:rsidRPr="00BF0161">
        <w:rPr>
          <w:lang w:val="el-GR"/>
        </w:rPr>
        <w:t xml:space="preserve"> (</w:t>
      </w:r>
      <w:proofErr w:type="spellStart"/>
      <w:r w:rsidRPr="00BF0161">
        <w:rPr>
          <w:lang w:val="el-GR"/>
        </w:rPr>
        <w:t>Ταφιάδης</w:t>
      </w:r>
      <w:proofErr w:type="spellEnd"/>
      <w:r w:rsidRPr="00BF0161">
        <w:rPr>
          <w:lang w:val="el-GR"/>
        </w:rPr>
        <w:t xml:space="preserve">, 2015).  Ωστόσο, πρέπει να τονιστεί η αλληλεπίδραση της κατάποσης με την αναπνοή. Είναι δύο ζωτικές λειτουργίες αλλά παρόλα αυτά αντίστροφες (Παπαδοπούλου, 2014). Σύμφωνα με τους </w:t>
      </w:r>
      <w:r>
        <w:rPr>
          <w:lang w:val="en-US"/>
        </w:rPr>
        <w:t>Murry</w:t>
      </w:r>
      <w:r w:rsidRPr="00BF0161">
        <w:rPr>
          <w:lang w:val="el-GR"/>
        </w:rPr>
        <w:t xml:space="preserve"> &amp; </w:t>
      </w:r>
      <w:proofErr w:type="spellStart"/>
      <w:r>
        <w:rPr>
          <w:lang w:val="en-US"/>
        </w:rPr>
        <w:t>Carrau</w:t>
      </w:r>
      <w:proofErr w:type="spellEnd"/>
      <w:r w:rsidRPr="00BF0161">
        <w:rPr>
          <w:lang w:val="el-GR"/>
        </w:rPr>
        <w:t xml:space="preserve"> (2014), η αναπνοή διακόπτεται κατά την κατάποση με τη σύγκλιση των φωνητικών πτυχών, φαινόμενο γνωστό ως άπνοια της κατάποσης. </w:t>
      </w:r>
    </w:p>
    <w:p w14:paraId="163D556C" w14:textId="7F89C458" w:rsidR="00146CE2" w:rsidRPr="00BF0161" w:rsidRDefault="00DB0AA3">
      <w:pPr>
        <w:spacing w:after="120" w:line="360" w:lineRule="auto"/>
        <w:jc w:val="both"/>
        <w:rPr>
          <w:lang w:val="el-GR"/>
        </w:rPr>
      </w:pPr>
      <w:r w:rsidRPr="00BF0161">
        <w:rPr>
          <w:lang w:val="el-GR"/>
        </w:rPr>
        <w:t>Η κατά</w:t>
      </w:r>
      <w:r w:rsidR="00A21903">
        <w:rPr>
          <w:lang w:val="el-GR"/>
        </w:rPr>
        <w:t>ποση διακρίνεται σε τρία στάδια</w:t>
      </w:r>
      <w:r w:rsidRPr="00BF0161">
        <w:rPr>
          <w:lang w:val="el-GR"/>
        </w:rPr>
        <w:t>: το στοματικό (προπαρασκευαστικό και εκτελεστικό), το φαρυγγικό και το οισοφαγικό (</w:t>
      </w:r>
      <w:proofErr w:type="spellStart"/>
      <w:r w:rsidRPr="00BF0161">
        <w:rPr>
          <w:lang w:val="el-GR"/>
        </w:rPr>
        <w:t>Πρώιου</w:t>
      </w:r>
      <w:proofErr w:type="spellEnd"/>
      <w:r w:rsidRPr="00BF0161">
        <w:rPr>
          <w:lang w:val="el-GR"/>
        </w:rPr>
        <w:t>, 2003).</w:t>
      </w:r>
    </w:p>
    <w:p w14:paraId="4A02D551" w14:textId="77777777" w:rsidR="00146CE2" w:rsidRDefault="00DB0AA3">
      <w:pPr>
        <w:spacing w:after="120" w:line="360" w:lineRule="auto"/>
        <w:jc w:val="both"/>
      </w:pPr>
      <w:r>
        <w:rPr>
          <w:noProof/>
          <w:lang w:val="el-GR" w:eastAsia="el-GR"/>
        </w:rPr>
        <w:lastRenderedPageBreak/>
        <w:drawing>
          <wp:inline distT="0" distB="0" distL="0" distR="0" wp14:anchorId="3C9DC186" wp14:editId="0B15F9C4">
            <wp:extent cx="5310505" cy="2679700"/>
            <wp:effectExtent l="0" t="57150" r="4445" b="25400"/>
            <wp:docPr id="2" name="Diagram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69BE7065" w14:textId="77777777" w:rsidR="00146CE2" w:rsidRDefault="00146CE2">
      <w:pPr>
        <w:spacing w:after="120" w:line="360" w:lineRule="auto"/>
        <w:jc w:val="both"/>
      </w:pPr>
    </w:p>
    <w:p w14:paraId="49EAC914" w14:textId="77777777" w:rsidR="00146CE2" w:rsidRPr="00BF0161" w:rsidRDefault="00DB0AA3" w:rsidP="000264BA">
      <w:pPr>
        <w:spacing w:after="120" w:line="360" w:lineRule="auto"/>
        <w:jc w:val="center"/>
        <w:rPr>
          <w:lang w:val="el-GR"/>
        </w:rPr>
      </w:pPr>
      <w:r w:rsidRPr="00BF0161">
        <w:rPr>
          <w:b/>
          <w:lang w:val="el-GR"/>
        </w:rPr>
        <w:t xml:space="preserve">Σχήμα 1.1 </w:t>
      </w:r>
      <w:r w:rsidRPr="00BF0161">
        <w:rPr>
          <w:lang w:val="el-GR"/>
        </w:rPr>
        <w:t>Στάδια κατάποσης</w:t>
      </w:r>
    </w:p>
    <w:p w14:paraId="4F30DDCE" w14:textId="77777777" w:rsidR="00146CE2" w:rsidRPr="00BF0161" w:rsidRDefault="00146CE2">
      <w:pPr>
        <w:spacing w:after="120" w:line="360" w:lineRule="auto"/>
        <w:jc w:val="both"/>
        <w:rPr>
          <w:lang w:val="el-GR"/>
        </w:rPr>
      </w:pPr>
    </w:p>
    <w:p w14:paraId="20BA0400" w14:textId="77777777" w:rsidR="00146CE2" w:rsidRPr="00BF0161" w:rsidRDefault="00DB0AA3">
      <w:pPr>
        <w:spacing w:after="120" w:line="360" w:lineRule="auto"/>
        <w:jc w:val="both"/>
        <w:rPr>
          <w:lang w:val="el-GR"/>
        </w:rPr>
      </w:pPr>
      <w:r w:rsidRPr="00BF0161">
        <w:rPr>
          <w:b/>
          <w:lang w:val="el-GR"/>
        </w:rPr>
        <w:t>1</w:t>
      </w:r>
      <w:r w:rsidRPr="00BF0161">
        <w:rPr>
          <w:b/>
          <w:vertAlign w:val="superscript"/>
          <w:lang w:val="el-GR"/>
        </w:rPr>
        <w:t>ο</w:t>
      </w:r>
      <w:r w:rsidRPr="00BF0161">
        <w:rPr>
          <w:b/>
          <w:lang w:val="el-GR"/>
        </w:rPr>
        <w:t xml:space="preserve"> Στοματικό στάδιο: </w:t>
      </w:r>
      <w:r w:rsidRPr="00BF0161">
        <w:rPr>
          <w:lang w:val="el-GR"/>
        </w:rPr>
        <w:t>Σε αυτό το στάδιο γίνονται οι ενέργειες προετοιμασίας για την ενεργοποίηση της κατάποσης. Είναι το μοναδικό στάδιο όπου εκτελείται εκούσια και το άτομο έχει την δυνατότητα να διακόψει ή να ενεργοποιήσει τη διαδικασία μάσησης  οποιαδήποτε στιγμή. Για λόγους αξιολογικούς ή θεραπευτικούς το στοματικό στάδιο διαχωρίζεται σε 2 επιμέρους φάσεις, Α) την προπαρασκευαστική και Β) την εκτελεστική φάση (Μεσσήνης &amp; Αντωνιάδης, 2010).</w:t>
      </w:r>
    </w:p>
    <w:p w14:paraId="1B383783" w14:textId="77777777" w:rsidR="00146CE2" w:rsidRPr="00BF0161" w:rsidRDefault="00DB0AA3">
      <w:pPr>
        <w:spacing w:after="120" w:line="360" w:lineRule="auto"/>
        <w:jc w:val="both"/>
        <w:rPr>
          <w:lang w:val="el-GR"/>
        </w:rPr>
      </w:pPr>
      <w:r w:rsidRPr="00BF0161">
        <w:rPr>
          <w:u w:val="single"/>
          <w:lang w:val="el-GR"/>
        </w:rPr>
        <w:lastRenderedPageBreak/>
        <w:t>Α) Προπαρασκευαστική φάση</w:t>
      </w:r>
      <w:r w:rsidRPr="00BF0161">
        <w:rPr>
          <w:lang w:val="el-GR"/>
        </w:rPr>
        <w:t>: Σε αυτή την φάση πραγματοποιούνται δύο ταυτόχρονες  δραστηριότητες, η μάσηση και η διαμόρφωση του βλωμού (Μεσσήνης &amp; Αντωνιάδης, 2010). Οι δομές που συμμετέχουν είναι τα χείλη, η γλώσσα, η γνάθος, τα δόντια, η μαλακή και σκληρή υπερώα, καθώς και οι μύες των παρειών. Τα χείλη κατευθύνουν την τροφή προς την γλώσσα και τα δόντια συμβάλλουν στον τεμαχισμό της. Ο σίελος παίζει καθοριστικό ρόλο στην διαμόρφωση του βλωμού (</w:t>
      </w:r>
      <w:r>
        <w:rPr>
          <w:lang w:val="en-US"/>
        </w:rPr>
        <w:t>Murry</w:t>
      </w:r>
      <w:r w:rsidRPr="00BF0161">
        <w:rPr>
          <w:lang w:val="el-GR"/>
        </w:rPr>
        <w:t xml:space="preserve"> &amp; </w:t>
      </w:r>
      <w:proofErr w:type="spellStart"/>
      <w:r>
        <w:rPr>
          <w:lang w:val="en-US"/>
        </w:rPr>
        <w:t>Carrau</w:t>
      </w:r>
      <w:proofErr w:type="spellEnd"/>
      <w:r w:rsidRPr="00BF0161">
        <w:rPr>
          <w:lang w:val="el-GR"/>
        </w:rPr>
        <w:t xml:space="preserve">, 2014). Όπως αναφέρει η </w:t>
      </w:r>
      <w:proofErr w:type="spellStart"/>
      <w:r w:rsidRPr="00BF0161">
        <w:rPr>
          <w:lang w:val="el-GR"/>
        </w:rPr>
        <w:t>Πρώιου</w:t>
      </w:r>
      <w:proofErr w:type="spellEnd"/>
      <w:r w:rsidRPr="00BF0161">
        <w:rPr>
          <w:lang w:val="el-GR"/>
        </w:rPr>
        <w:t xml:space="preserve"> (2003), ο βλωμός σχηματίζεται εξαιτίας στενής επαφής στην υπερώα και στις πλευρές της γλώσσας και παίρνει ημισφαιρικό σχήμα με το χαρακτηριστικό γνώρισμα της ουράς- </w:t>
      </w:r>
      <w:r>
        <w:rPr>
          <w:lang w:val="en-US"/>
        </w:rPr>
        <w:t>bolus</w:t>
      </w:r>
      <w:r w:rsidRPr="00BF0161">
        <w:rPr>
          <w:lang w:val="el-GR"/>
        </w:rPr>
        <w:t xml:space="preserve"> </w:t>
      </w:r>
      <w:r>
        <w:rPr>
          <w:lang w:val="en-US"/>
        </w:rPr>
        <w:t>tail</w:t>
      </w:r>
      <w:r w:rsidRPr="00BF0161">
        <w:rPr>
          <w:lang w:val="el-GR"/>
        </w:rPr>
        <w:t xml:space="preserve">. Να σημειωθεί, ότι υπάρχουν τρία είδη βλωμών, υγροί, </w:t>
      </w:r>
      <w:proofErr w:type="spellStart"/>
      <w:r w:rsidRPr="00BF0161">
        <w:rPr>
          <w:lang w:val="el-GR"/>
        </w:rPr>
        <w:t>ημιστερεοί</w:t>
      </w:r>
      <w:proofErr w:type="spellEnd"/>
      <w:r w:rsidRPr="00BF0161">
        <w:rPr>
          <w:lang w:val="el-GR"/>
        </w:rPr>
        <w:t xml:space="preserve"> και στερεοί.</w:t>
      </w:r>
    </w:p>
    <w:p w14:paraId="56B66951" w14:textId="77777777" w:rsidR="00146CE2" w:rsidRPr="00BF0161" w:rsidRDefault="00DB0AA3">
      <w:pPr>
        <w:spacing w:after="120" w:line="360" w:lineRule="auto"/>
        <w:jc w:val="both"/>
        <w:rPr>
          <w:lang w:val="el-GR"/>
        </w:rPr>
      </w:pPr>
      <w:r w:rsidRPr="00BF0161">
        <w:rPr>
          <w:u w:val="single"/>
          <w:lang w:val="el-GR"/>
        </w:rPr>
        <w:t>Β) Εκτελεστική φάση</w:t>
      </w:r>
      <w:r w:rsidRPr="00BF0161">
        <w:rPr>
          <w:lang w:val="el-GR"/>
        </w:rPr>
        <w:t xml:space="preserve">: Εφόσον έχει διαμορφωθεί ο βλωμός, επέρχεται η μεταφορά του. Συγκρατείται αρχικά μέσα στην στοματική κοιλότητα με την βοήθεια της βάσης της γλώσσας και της μαλθακής υπερώας.  Έπειτα, η μαλακή υπερώα ανυψώνεται, οι μύες των χειλιών και των παρειών συστέλλονται με σκοπό τη μείωση της στοματικής κοιλότητας. Το πρόσθιο </w:t>
      </w:r>
      <w:r w:rsidRPr="00BF0161">
        <w:rPr>
          <w:lang w:val="el-GR"/>
        </w:rPr>
        <w:lastRenderedPageBreak/>
        <w:t xml:space="preserve">και μέσο τμήμα της γλώσσας ανυψώνεται, ενώ το οπίσθιο κατέρχεται προωθώντας το βλωμό στον </w:t>
      </w:r>
      <w:proofErr w:type="spellStart"/>
      <w:r w:rsidRPr="00BF0161">
        <w:rPr>
          <w:lang w:val="el-GR"/>
        </w:rPr>
        <w:t>στοματοφάρυγγα</w:t>
      </w:r>
      <w:proofErr w:type="spellEnd"/>
      <w:r w:rsidRPr="00BF0161">
        <w:rPr>
          <w:lang w:val="el-GR"/>
        </w:rPr>
        <w:t xml:space="preserve"> (</w:t>
      </w:r>
      <w:r>
        <w:rPr>
          <w:lang w:val="en-US"/>
        </w:rPr>
        <w:t>Murry</w:t>
      </w:r>
      <w:r w:rsidRPr="00BF0161">
        <w:rPr>
          <w:lang w:val="el-GR"/>
        </w:rPr>
        <w:t xml:space="preserve"> &amp; </w:t>
      </w:r>
      <w:proofErr w:type="spellStart"/>
      <w:r>
        <w:rPr>
          <w:lang w:val="en-US"/>
        </w:rPr>
        <w:t>Carrau</w:t>
      </w:r>
      <w:proofErr w:type="spellEnd"/>
      <w:r w:rsidRPr="00BF0161">
        <w:rPr>
          <w:lang w:val="el-GR"/>
        </w:rPr>
        <w:t>, 2014). Το στάδιο αυτό διαρκεί περίπου 1 δευτερόλεπτο (</w:t>
      </w:r>
      <w:proofErr w:type="spellStart"/>
      <w:r w:rsidRPr="00BF0161">
        <w:rPr>
          <w:lang w:val="el-GR"/>
        </w:rPr>
        <w:t>Πρώιου</w:t>
      </w:r>
      <w:proofErr w:type="spellEnd"/>
      <w:r w:rsidRPr="00BF0161">
        <w:rPr>
          <w:lang w:val="el-GR"/>
        </w:rPr>
        <w:t>, 2003).</w:t>
      </w:r>
    </w:p>
    <w:p w14:paraId="2EF32244" w14:textId="77777777" w:rsidR="000264BA" w:rsidRPr="00BF0161" w:rsidRDefault="000264BA">
      <w:pPr>
        <w:spacing w:after="120" w:line="360" w:lineRule="auto"/>
        <w:jc w:val="both"/>
        <w:rPr>
          <w:b/>
          <w:lang w:val="el-GR"/>
        </w:rPr>
      </w:pPr>
    </w:p>
    <w:p w14:paraId="40765C60" w14:textId="77777777" w:rsidR="00146CE2" w:rsidRPr="00BF0161" w:rsidRDefault="00DB0AA3">
      <w:pPr>
        <w:spacing w:after="120" w:line="360" w:lineRule="auto"/>
        <w:jc w:val="both"/>
        <w:rPr>
          <w:lang w:val="el-GR"/>
        </w:rPr>
      </w:pPr>
      <w:r w:rsidRPr="00BF0161">
        <w:rPr>
          <w:b/>
          <w:lang w:val="el-GR"/>
        </w:rPr>
        <w:t>2</w:t>
      </w:r>
      <w:r w:rsidRPr="00BF0161">
        <w:rPr>
          <w:b/>
          <w:vertAlign w:val="superscript"/>
          <w:lang w:val="el-GR"/>
        </w:rPr>
        <w:t>ο</w:t>
      </w:r>
      <w:r w:rsidRPr="00BF0161">
        <w:rPr>
          <w:b/>
          <w:lang w:val="el-GR"/>
        </w:rPr>
        <w:t xml:space="preserve"> Φαρυγγικό στάδιο: </w:t>
      </w:r>
      <w:r w:rsidRPr="00BF0161">
        <w:rPr>
          <w:lang w:val="el-GR"/>
        </w:rPr>
        <w:t>Η έναρξη του σταδίου αυτού ενεργοποιείται με την πυροδότηση του αντανακλαστικού της κατάποσης, όταν ο βλωμός φτάνει στο επίπεδο των πρόσθιων παρίσθμιων καμάρων. Παρατηρείται διάνοιξη του φαρυγγικού χώρου με σκοπό την μεταφορά του βλωμού, ενώ παράλληλα αυξάνεται η πίεση για την προώθηση του. (</w:t>
      </w:r>
      <w:proofErr w:type="spellStart"/>
      <w:r>
        <w:rPr>
          <w:lang w:val="en-US"/>
        </w:rPr>
        <w:t>Bigenzahn</w:t>
      </w:r>
      <w:proofErr w:type="spellEnd"/>
      <w:r w:rsidRPr="00BF0161">
        <w:rPr>
          <w:lang w:val="el-GR"/>
        </w:rPr>
        <w:t xml:space="preserve"> &amp; </w:t>
      </w:r>
      <w:proofErr w:type="spellStart"/>
      <w:r>
        <w:rPr>
          <w:lang w:val="en-US"/>
        </w:rPr>
        <w:t>Denk</w:t>
      </w:r>
      <w:proofErr w:type="spellEnd"/>
      <w:r w:rsidRPr="00BF0161">
        <w:rPr>
          <w:lang w:val="el-GR"/>
        </w:rPr>
        <w:t>, 2007).</w:t>
      </w:r>
    </w:p>
    <w:p w14:paraId="17C2A844" w14:textId="77777777" w:rsidR="00146CE2" w:rsidRPr="00BF0161" w:rsidRDefault="00DB0AA3">
      <w:pPr>
        <w:spacing w:after="120" w:line="360" w:lineRule="auto"/>
        <w:jc w:val="both"/>
        <w:rPr>
          <w:lang w:val="el-GR"/>
        </w:rPr>
      </w:pPr>
      <w:r w:rsidRPr="00BF0161">
        <w:rPr>
          <w:lang w:val="el-GR"/>
        </w:rPr>
        <w:t xml:space="preserve">Συγκεκριμένα, όπως αναφέρει ο Μεσσήνης &amp; Αντωνιάδης (2010), οι παρίσθμιες καμάρες σφίγγουν, η μαλθακή υπερώα ανυψώνεται και </w:t>
      </w:r>
      <w:proofErr w:type="spellStart"/>
      <w:r w:rsidRPr="00BF0161">
        <w:rPr>
          <w:lang w:val="el-GR"/>
        </w:rPr>
        <w:t>συσπάται</w:t>
      </w:r>
      <w:proofErr w:type="spellEnd"/>
      <w:r w:rsidRPr="00BF0161">
        <w:rPr>
          <w:lang w:val="el-GR"/>
        </w:rPr>
        <w:t xml:space="preserve"> ο άνω λαρυγγικός σφιγκτήρας με αποτέλεσμα η προώθηση του βλωμού να ενισχύεται δια μέσου του φάρυγγα. Ταυτόχρονα, παρεμποδίζεται η αναγωγή, τόσο προς τη στοματική, όσο και προς την ρινική κοιλότητα. Στη συνέχεια, οι φαρυγγικοί μύες </w:t>
      </w:r>
      <w:proofErr w:type="spellStart"/>
      <w:r w:rsidRPr="00BF0161">
        <w:rPr>
          <w:lang w:val="el-GR"/>
        </w:rPr>
        <w:t>συσπώνται</w:t>
      </w:r>
      <w:proofErr w:type="spellEnd"/>
      <w:r w:rsidRPr="00BF0161">
        <w:rPr>
          <w:lang w:val="el-GR"/>
        </w:rPr>
        <w:t xml:space="preserve">, τεντώνοντας τον φαρυγγικό σωλήνα προς τα επάνω, η γλώσσα τραβιέται προς τα εμπρός, επιτρέποντας έτσι το βλωμό να περάσει. Ο λάρυγγας ανυψώνεται στο ύψος κάτω από την </w:t>
      </w:r>
      <w:r w:rsidRPr="00BF0161">
        <w:rPr>
          <w:lang w:val="el-GR"/>
        </w:rPr>
        <w:lastRenderedPageBreak/>
        <w:t xml:space="preserve">βάση της γλώσσας, ενώ οι φωνητικές πτυχές ανοίγουν. Έπειτα, η επιγλωττίδα διπλώνει πάνω από το λαρυγγικό άνοιγμα υποβοηθούμενη από το βάρος του βλωμού. Ως αποτέλεσμα των παραπάνω, ο βλωμός προχωρά περαιτέρω από τον φάρυγγα στον οισοφάγο μέσω του χαλαρωμένου </w:t>
      </w:r>
      <w:proofErr w:type="spellStart"/>
      <w:r w:rsidRPr="00BF0161">
        <w:rPr>
          <w:lang w:val="el-GR"/>
        </w:rPr>
        <w:t>κρικοφαρυγγικού</w:t>
      </w:r>
      <w:proofErr w:type="spellEnd"/>
      <w:r w:rsidRPr="00BF0161">
        <w:rPr>
          <w:lang w:val="el-GR"/>
        </w:rPr>
        <w:t xml:space="preserve"> σφιγκτήρα.</w:t>
      </w:r>
    </w:p>
    <w:p w14:paraId="21BE06EE" w14:textId="77777777" w:rsidR="00146CE2" w:rsidRPr="00BF0161" w:rsidRDefault="00DB0AA3">
      <w:pPr>
        <w:spacing w:after="120" w:line="360" w:lineRule="auto"/>
        <w:jc w:val="both"/>
        <w:rPr>
          <w:lang w:val="el-GR"/>
        </w:rPr>
      </w:pPr>
      <w:r w:rsidRPr="00BF0161">
        <w:rPr>
          <w:lang w:val="el-GR"/>
        </w:rPr>
        <w:t>Το στάδιο αυτό είναι ακούσιο και διαρκεί 0,7 έως 1 δευτερόλεπτο (</w:t>
      </w:r>
      <w:r>
        <w:rPr>
          <w:lang w:val="en-US"/>
        </w:rPr>
        <w:t>Murry</w:t>
      </w:r>
      <w:r w:rsidRPr="00BF0161">
        <w:rPr>
          <w:lang w:val="el-GR"/>
        </w:rPr>
        <w:t xml:space="preserve"> &amp; </w:t>
      </w:r>
      <w:proofErr w:type="spellStart"/>
      <w:r>
        <w:rPr>
          <w:lang w:val="en-US"/>
        </w:rPr>
        <w:t>Carrau</w:t>
      </w:r>
      <w:proofErr w:type="spellEnd"/>
      <w:r w:rsidRPr="00BF0161">
        <w:rPr>
          <w:lang w:val="el-GR"/>
        </w:rPr>
        <w:t>, 2014). Η αναπνοή σταματά κατά την διάρκεια της κατάποσης, λόγω ανύψωσης της μαλθακής υπερώας μπλοκάροντας τον ρινοφάρυγγα για αποφυγή ρινικής αναγωγής και επανέρχεται με την λήξη του σταδίου. Θα πρέπει να πληρούνται δύο προϋποθέσεις για την ασφαλή κατάποση: α) προστασία των αεραγωγών για την αποτροπή του κινδύνου εισρόφησης και β) η επιτέλεση του φαρυγγικού σταδίου θα πρέπει να είναι σύντομη για γρήγορη επαναφορά της αναπνοής (Μεσσήνης &amp; Αντωνιάδης, 2010). Ένα επιπλέον μέσο προστασίας είναι το αντανακλαστικό του φάρυγγα/ αντανακλαστικό της έμμεσης (</w:t>
      </w:r>
      <w:proofErr w:type="spellStart"/>
      <w:r w:rsidRPr="00BF0161">
        <w:rPr>
          <w:lang w:val="el-GR"/>
        </w:rPr>
        <w:t>Ταφιάδης</w:t>
      </w:r>
      <w:proofErr w:type="spellEnd"/>
      <w:r w:rsidRPr="00BF0161">
        <w:rPr>
          <w:lang w:val="el-GR"/>
        </w:rPr>
        <w:t>, 2015).</w:t>
      </w:r>
    </w:p>
    <w:p w14:paraId="121CA437" w14:textId="77777777" w:rsidR="00146CE2" w:rsidRPr="00BF0161" w:rsidRDefault="008F2E17">
      <w:pPr>
        <w:spacing w:after="120" w:line="360" w:lineRule="auto"/>
        <w:jc w:val="both"/>
        <w:rPr>
          <w:lang w:val="el-GR"/>
        </w:rPr>
      </w:pPr>
      <w:r>
        <w:rPr>
          <w:noProof/>
          <w:lang w:val="el-GR" w:eastAsia="el-GR"/>
        </w:rPr>
        <w:lastRenderedPageBreak/>
        <w:drawing>
          <wp:anchor distT="0" distB="0" distL="114300" distR="114300" simplePos="0" relativeHeight="251659776" behindDoc="0" locked="0" layoutInCell="1" allowOverlap="1" wp14:anchorId="651B891A" wp14:editId="6C678D6C">
            <wp:simplePos x="0" y="0"/>
            <wp:positionH relativeFrom="margin">
              <wp:posOffset>426720</wp:posOffset>
            </wp:positionH>
            <wp:positionV relativeFrom="margin">
              <wp:posOffset>2753360</wp:posOffset>
            </wp:positionV>
            <wp:extent cx="4845685" cy="4252595"/>
            <wp:effectExtent l="0" t="0" r="0" b="0"/>
            <wp:wrapSquare wrapText="bothSides"/>
            <wp:docPr id="11" name="Picture" descr="σταδια καταποση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σταδια καταποσης.png"/>
                    <pic:cNvPicPr>
                      <a:picLocks noChangeAspect="1" noChangeArrowheads="1"/>
                    </pic:cNvPicPr>
                  </pic:nvPicPr>
                  <pic:blipFill>
                    <a:blip r:embed="rId18" cstate="print"/>
                    <a:stretch>
                      <a:fillRect/>
                    </a:stretch>
                  </pic:blipFill>
                  <pic:spPr bwMode="auto">
                    <a:xfrm>
                      <a:off x="0" y="0"/>
                      <a:ext cx="4845685" cy="42525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FD49DF5" w14:textId="77777777" w:rsidR="00146CE2" w:rsidRPr="00BF0161" w:rsidRDefault="00146CE2">
      <w:pPr>
        <w:spacing w:after="120" w:line="360" w:lineRule="auto"/>
        <w:jc w:val="both"/>
        <w:rPr>
          <w:lang w:val="el-GR"/>
        </w:rPr>
      </w:pPr>
    </w:p>
    <w:p w14:paraId="4ABCA0E3" w14:textId="77777777" w:rsidR="00146CE2" w:rsidRPr="00D32DA2" w:rsidRDefault="00146CE2" w:rsidP="000264BA">
      <w:pPr>
        <w:spacing w:after="120" w:line="360" w:lineRule="auto"/>
        <w:jc w:val="center"/>
        <w:rPr>
          <w:lang w:val="el-GR"/>
        </w:rPr>
      </w:pPr>
    </w:p>
    <w:p w14:paraId="4174F90F" w14:textId="77777777" w:rsidR="00146CE2" w:rsidRPr="00D32DA2" w:rsidRDefault="00146CE2">
      <w:pPr>
        <w:spacing w:after="120" w:line="360" w:lineRule="auto"/>
        <w:jc w:val="both"/>
        <w:rPr>
          <w:b/>
          <w:lang w:val="el-GR"/>
        </w:rPr>
      </w:pPr>
    </w:p>
    <w:p w14:paraId="3F839110" w14:textId="77777777" w:rsidR="007F13FD" w:rsidRDefault="007F13FD" w:rsidP="000264BA">
      <w:pPr>
        <w:spacing w:after="120" w:line="360" w:lineRule="auto"/>
        <w:jc w:val="center"/>
        <w:rPr>
          <w:b/>
          <w:lang w:val="el-GR"/>
        </w:rPr>
      </w:pPr>
    </w:p>
    <w:p w14:paraId="3560D9C5" w14:textId="77777777" w:rsidR="007F13FD" w:rsidRDefault="007F13FD" w:rsidP="000264BA">
      <w:pPr>
        <w:spacing w:after="120" w:line="360" w:lineRule="auto"/>
        <w:jc w:val="center"/>
        <w:rPr>
          <w:b/>
          <w:lang w:val="el-GR"/>
        </w:rPr>
      </w:pPr>
    </w:p>
    <w:p w14:paraId="5F8F34EE" w14:textId="77777777" w:rsidR="007F13FD" w:rsidRDefault="007F13FD" w:rsidP="000264BA">
      <w:pPr>
        <w:spacing w:after="120" w:line="360" w:lineRule="auto"/>
        <w:jc w:val="center"/>
        <w:rPr>
          <w:b/>
          <w:lang w:val="el-GR"/>
        </w:rPr>
      </w:pPr>
    </w:p>
    <w:p w14:paraId="13EE6A8D" w14:textId="77777777" w:rsidR="007F13FD" w:rsidRDefault="007F13FD" w:rsidP="007F13FD">
      <w:pPr>
        <w:spacing w:after="120" w:line="360" w:lineRule="auto"/>
        <w:jc w:val="center"/>
        <w:rPr>
          <w:b/>
          <w:lang w:val="el-GR"/>
        </w:rPr>
      </w:pPr>
    </w:p>
    <w:p w14:paraId="3C7A5FC4" w14:textId="77777777" w:rsidR="007F13FD" w:rsidRDefault="007F13FD" w:rsidP="007F13FD">
      <w:pPr>
        <w:spacing w:after="120" w:line="360" w:lineRule="auto"/>
        <w:jc w:val="center"/>
        <w:rPr>
          <w:b/>
          <w:lang w:val="el-GR"/>
        </w:rPr>
      </w:pPr>
    </w:p>
    <w:p w14:paraId="3DB8B30D" w14:textId="77777777" w:rsidR="007F13FD" w:rsidRDefault="007F13FD" w:rsidP="007F13FD">
      <w:pPr>
        <w:spacing w:after="120" w:line="360" w:lineRule="auto"/>
        <w:jc w:val="center"/>
        <w:rPr>
          <w:b/>
          <w:lang w:val="el-GR"/>
        </w:rPr>
      </w:pPr>
    </w:p>
    <w:p w14:paraId="71B9D32F" w14:textId="77777777" w:rsidR="007F13FD" w:rsidRDefault="007F13FD" w:rsidP="007F13FD">
      <w:pPr>
        <w:spacing w:after="120" w:line="360" w:lineRule="auto"/>
        <w:jc w:val="center"/>
        <w:rPr>
          <w:b/>
          <w:lang w:val="el-GR"/>
        </w:rPr>
      </w:pPr>
    </w:p>
    <w:p w14:paraId="00E7ADA3" w14:textId="77777777" w:rsidR="007F13FD" w:rsidRDefault="007F13FD" w:rsidP="007F13FD">
      <w:pPr>
        <w:spacing w:after="120" w:line="360" w:lineRule="auto"/>
        <w:jc w:val="center"/>
        <w:rPr>
          <w:b/>
          <w:lang w:val="el-GR"/>
        </w:rPr>
      </w:pPr>
    </w:p>
    <w:p w14:paraId="52FCE78F" w14:textId="77777777" w:rsidR="007F13FD" w:rsidRDefault="007F13FD" w:rsidP="007F13FD">
      <w:pPr>
        <w:spacing w:after="120" w:line="360" w:lineRule="auto"/>
        <w:jc w:val="center"/>
        <w:rPr>
          <w:b/>
          <w:lang w:val="el-GR"/>
        </w:rPr>
      </w:pPr>
    </w:p>
    <w:p w14:paraId="4B4C2C45" w14:textId="77777777" w:rsidR="007F13FD" w:rsidRDefault="007F13FD" w:rsidP="007F13FD">
      <w:pPr>
        <w:spacing w:after="120" w:line="360" w:lineRule="auto"/>
        <w:jc w:val="center"/>
        <w:rPr>
          <w:b/>
          <w:lang w:val="el-GR"/>
        </w:rPr>
      </w:pPr>
    </w:p>
    <w:p w14:paraId="444B37C5" w14:textId="77777777" w:rsidR="007F13FD" w:rsidRDefault="007F13FD" w:rsidP="007F13FD">
      <w:pPr>
        <w:spacing w:after="120" w:line="360" w:lineRule="auto"/>
        <w:jc w:val="center"/>
        <w:rPr>
          <w:b/>
          <w:lang w:val="el-GR"/>
        </w:rPr>
      </w:pPr>
    </w:p>
    <w:p w14:paraId="14A75F34" w14:textId="77777777" w:rsidR="00146CE2" w:rsidRPr="007F13FD" w:rsidRDefault="00DB0AA3" w:rsidP="007F13FD">
      <w:pPr>
        <w:spacing w:after="120" w:line="360" w:lineRule="auto"/>
        <w:jc w:val="center"/>
        <w:rPr>
          <w:b/>
          <w:lang w:val="el-GR"/>
        </w:rPr>
      </w:pPr>
      <w:r w:rsidRPr="00BF0161">
        <w:rPr>
          <w:b/>
          <w:lang w:val="el-GR"/>
        </w:rPr>
        <w:lastRenderedPageBreak/>
        <w:t>Εικόνα 1.</w:t>
      </w:r>
      <w:r w:rsidR="007F13FD">
        <w:rPr>
          <w:b/>
          <w:lang w:val="el-GR"/>
        </w:rPr>
        <w:t>3</w:t>
      </w:r>
      <w:r w:rsidRPr="00BF0161">
        <w:rPr>
          <w:lang w:val="el-GR"/>
        </w:rPr>
        <w:t>: Στάδια κατάποσης</w:t>
      </w:r>
    </w:p>
    <w:p w14:paraId="73FC112C" w14:textId="77777777" w:rsidR="006638E7" w:rsidRDefault="006638E7">
      <w:pPr>
        <w:spacing w:after="120" w:line="360" w:lineRule="auto"/>
        <w:jc w:val="both"/>
        <w:rPr>
          <w:b/>
          <w:sz w:val="28"/>
          <w:lang w:val="el-GR"/>
        </w:rPr>
      </w:pPr>
    </w:p>
    <w:p w14:paraId="282BC989" w14:textId="77777777" w:rsidR="008F2E17" w:rsidRDefault="008F2E17">
      <w:pPr>
        <w:spacing w:after="120" w:line="360" w:lineRule="auto"/>
        <w:jc w:val="both"/>
        <w:rPr>
          <w:b/>
          <w:sz w:val="28"/>
          <w:lang w:val="el-GR"/>
        </w:rPr>
      </w:pPr>
    </w:p>
    <w:p w14:paraId="32DF4CAF" w14:textId="77777777" w:rsidR="007F13FD" w:rsidRPr="00BF0161" w:rsidRDefault="007F13FD" w:rsidP="007F13FD">
      <w:pPr>
        <w:spacing w:after="120" w:line="360" w:lineRule="auto"/>
        <w:jc w:val="both"/>
        <w:rPr>
          <w:lang w:val="el-GR"/>
        </w:rPr>
      </w:pPr>
      <w:r w:rsidRPr="00BF0161">
        <w:rPr>
          <w:b/>
          <w:lang w:val="el-GR"/>
        </w:rPr>
        <w:t>3</w:t>
      </w:r>
      <w:r w:rsidRPr="00BF0161">
        <w:rPr>
          <w:b/>
          <w:vertAlign w:val="superscript"/>
          <w:lang w:val="el-GR"/>
        </w:rPr>
        <w:t>ο</w:t>
      </w:r>
      <w:r w:rsidRPr="00BF0161">
        <w:rPr>
          <w:b/>
          <w:lang w:val="el-GR"/>
        </w:rPr>
        <w:t xml:space="preserve"> Οισοφαγικό στάδιο: </w:t>
      </w:r>
      <w:r w:rsidRPr="00BF0161">
        <w:rPr>
          <w:lang w:val="el-GR"/>
        </w:rPr>
        <w:t xml:space="preserve">Το τελικό αυτό στάδιο ξεκινά με την σύγκλιση του </w:t>
      </w:r>
      <w:proofErr w:type="spellStart"/>
      <w:r w:rsidRPr="00BF0161">
        <w:rPr>
          <w:lang w:val="el-GR"/>
        </w:rPr>
        <w:t>φαρυγγοοισοφαγικού</w:t>
      </w:r>
      <w:proofErr w:type="spellEnd"/>
      <w:r w:rsidRPr="00BF0161">
        <w:rPr>
          <w:lang w:val="el-GR"/>
        </w:rPr>
        <w:t xml:space="preserve"> τμήματος και διαρκεί περίπου 8 έως 20 δευτερόλεπτα  (</w:t>
      </w:r>
      <w:proofErr w:type="spellStart"/>
      <w:r>
        <w:rPr>
          <w:lang w:val="en-US"/>
        </w:rPr>
        <w:t>Bigenzahn</w:t>
      </w:r>
      <w:proofErr w:type="spellEnd"/>
      <w:r w:rsidRPr="00BF0161">
        <w:rPr>
          <w:lang w:val="el-GR"/>
        </w:rPr>
        <w:t xml:space="preserve"> &amp; </w:t>
      </w:r>
      <w:proofErr w:type="spellStart"/>
      <w:r>
        <w:rPr>
          <w:lang w:val="en-US"/>
        </w:rPr>
        <w:t>Denk</w:t>
      </w:r>
      <w:proofErr w:type="spellEnd"/>
      <w:r w:rsidRPr="00BF0161">
        <w:rPr>
          <w:lang w:val="el-GR"/>
        </w:rPr>
        <w:t>, 2007). Είναι απαραίτητο να σημειωθεί ότι το στάδιο αυτό είναι αντανακλαστικό και δεν υπάρχει δυνατότητα εκούσιου ελέγχου (Μεσσήνης &amp; Αντωνιάδης, 2010). Η μεταφορά του βλωμού πραγματοποιείται μέσω πρωτογενών και δευτερογενών περισταλτικών κινήσεων, ενώ στην όρθια θέση η βαρύτητα δρα υποστηρικτικά (</w:t>
      </w:r>
      <w:proofErr w:type="spellStart"/>
      <w:r>
        <w:rPr>
          <w:lang w:val="en-US"/>
        </w:rPr>
        <w:t>Bigenzahn</w:t>
      </w:r>
      <w:proofErr w:type="spellEnd"/>
      <w:r w:rsidRPr="00BF0161">
        <w:rPr>
          <w:lang w:val="el-GR"/>
        </w:rPr>
        <w:t xml:space="preserve"> &amp; </w:t>
      </w:r>
      <w:proofErr w:type="spellStart"/>
      <w:r>
        <w:rPr>
          <w:lang w:val="en-US"/>
        </w:rPr>
        <w:t>Denk</w:t>
      </w:r>
      <w:proofErr w:type="spellEnd"/>
      <w:r w:rsidRPr="00BF0161">
        <w:rPr>
          <w:lang w:val="el-GR"/>
        </w:rPr>
        <w:t>, 2007). Το στάδιο αυτό λήγει με την μεταφορά του βλωμού διαμέσου του κάτω οισοφαγικού σφιγκτήρα στο στομάχι (</w:t>
      </w:r>
      <w:r>
        <w:rPr>
          <w:lang w:val="en-US"/>
        </w:rPr>
        <w:t>Corbin</w:t>
      </w:r>
      <w:r w:rsidRPr="00BF0161">
        <w:rPr>
          <w:lang w:val="el-GR"/>
        </w:rPr>
        <w:t xml:space="preserve">- </w:t>
      </w:r>
      <w:r>
        <w:rPr>
          <w:lang w:val="en-US"/>
        </w:rPr>
        <w:t>Lewis</w:t>
      </w:r>
      <w:r w:rsidRPr="00BF0161">
        <w:rPr>
          <w:lang w:val="el-GR"/>
        </w:rPr>
        <w:t xml:space="preserve">, </w:t>
      </w:r>
      <w:proofErr w:type="spellStart"/>
      <w:r>
        <w:rPr>
          <w:lang w:val="en-US"/>
        </w:rPr>
        <w:t>Liss</w:t>
      </w:r>
      <w:proofErr w:type="spellEnd"/>
      <w:r w:rsidRPr="00BF0161">
        <w:rPr>
          <w:lang w:val="el-GR"/>
        </w:rPr>
        <w:t xml:space="preserve"> &amp; </w:t>
      </w:r>
      <w:proofErr w:type="spellStart"/>
      <w:r>
        <w:rPr>
          <w:lang w:val="en-US"/>
        </w:rPr>
        <w:t>Sciortino</w:t>
      </w:r>
      <w:proofErr w:type="spellEnd"/>
      <w:r w:rsidRPr="00BF0161">
        <w:rPr>
          <w:lang w:val="el-GR"/>
        </w:rPr>
        <w:t>, 2004).  Οι άνω και κάτω οισοφαγικοί σφιγκτήρες συμβάλλουν ακόμη και στην παρεμπόδιση της εισόδου αέρα στον οισοφάγο κατά την εισπνοή και παλινδρόμηση από το στομάχι, αντίστοιχα (</w:t>
      </w:r>
      <w:proofErr w:type="spellStart"/>
      <w:r>
        <w:rPr>
          <w:lang w:val="en-US"/>
        </w:rPr>
        <w:t>Bigenzahn</w:t>
      </w:r>
      <w:proofErr w:type="spellEnd"/>
      <w:r w:rsidRPr="00BF0161">
        <w:rPr>
          <w:lang w:val="el-GR"/>
        </w:rPr>
        <w:t xml:space="preserve"> &amp; </w:t>
      </w:r>
      <w:proofErr w:type="spellStart"/>
      <w:r>
        <w:rPr>
          <w:lang w:val="en-US"/>
        </w:rPr>
        <w:t>Denk</w:t>
      </w:r>
      <w:proofErr w:type="spellEnd"/>
      <w:r w:rsidRPr="00BF0161">
        <w:rPr>
          <w:lang w:val="el-GR"/>
        </w:rPr>
        <w:t xml:space="preserve">, 2007). </w:t>
      </w:r>
    </w:p>
    <w:p w14:paraId="3B8DAD17" w14:textId="77777777" w:rsidR="007F13FD" w:rsidRDefault="007F13FD">
      <w:pPr>
        <w:spacing w:after="120" w:line="360" w:lineRule="auto"/>
        <w:jc w:val="both"/>
        <w:rPr>
          <w:b/>
          <w:sz w:val="28"/>
          <w:lang w:val="el-GR"/>
        </w:rPr>
      </w:pPr>
    </w:p>
    <w:p w14:paraId="45362B30" w14:textId="77777777" w:rsidR="00146CE2" w:rsidRPr="00456D14" w:rsidRDefault="00DB0AA3" w:rsidP="00456D14">
      <w:pPr>
        <w:pStyle w:val="2"/>
        <w:spacing w:before="120" w:line="360" w:lineRule="auto"/>
        <w:rPr>
          <w:b/>
          <w:sz w:val="28"/>
        </w:rPr>
      </w:pPr>
      <w:bookmarkStart w:id="17" w:name="_Toc493323963"/>
      <w:r w:rsidRPr="00456D14">
        <w:rPr>
          <w:b/>
          <w:sz w:val="28"/>
        </w:rPr>
        <w:lastRenderedPageBreak/>
        <w:t>1.3 Αιτιολογία Δυσφαγίας</w:t>
      </w:r>
      <w:bookmarkEnd w:id="17"/>
    </w:p>
    <w:p w14:paraId="4A23B67D" w14:textId="77777777" w:rsidR="00146CE2" w:rsidRPr="00BF0161" w:rsidRDefault="00DB0AA3">
      <w:pPr>
        <w:spacing w:after="120" w:line="360" w:lineRule="auto"/>
        <w:jc w:val="both"/>
        <w:rPr>
          <w:lang w:val="el-GR"/>
        </w:rPr>
      </w:pPr>
      <w:r w:rsidRPr="00BF0161">
        <w:rPr>
          <w:lang w:val="el-GR"/>
        </w:rPr>
        <w:t>Τα  κυριότερα αίτια των διαταραχών κατάποσης είναι πολυάριθμα και κατατάσσονται σε τέσσερις κατηγορίες. Αυτές είναι: νευρολογικά, δομικά/μηχανικά, οισοφαγικά και ψυχογενή αίτια δυσφαγίας. Ο λόγος για τον διαχωρισμό αυτών, είναι η ανάγκη κάθε περίπτωσης να αντιμετωπίζεται με διαφορετικό τρόπο προσέγγισης, αξιολόγησης και θεραπευτικής αποκατάστασης (Παπαδοπούλου, 2014).</w:t>
      </w:r>
    </w:p>
    <w:p w14:paraId="571CC262" w14:textId="77777777" w:rsidR="00146CE2" w:rsidRPr="00BF0161" w:rsidRDefault="00146CE2">
      <w:pPr>
        <w:spacing w:after="120" w:line="360" w:lineRule="auto"/>
        <w:jc w:val="both"/>
        <w:rPr>
          <w:lang w:val="el-GR"/>
        </w:rPr>
      </w:pPr>
    </w:p>
    <w:p w14:paraId="055A15CD" w14:textId="77777777" w:rsidR="00146CE2" w:rsidRPr="00456D14" w:rsidRDefault="00DB0AA3" w:rsidP="00456D14">
      <w:pPr>
        <w:pStyle w:val="2"/>
        <w:spacing w:before="0" w:line="360" w:lineRule="auto"/>
        <w:rPr>
          <w:b/>
        </w:rPr>
      </w:pPr>
      <w:bookmarkStart w:id="18" w:name="_Toc493323964"/>
      <w:r w:rsidRPr="00456D14">
        <w:rPr>
          <w:b/>
        </w:rPr>
        <w:t>1.3.1 Νευρολογικά αίτια δυσφαγίας</w:t>
      </w:r>
      <w:bookmarkEnd w:id="18"/>
      <w:r w:rsidRPr="00456D14">
        <w:rPr>
          <w:b/>
        </w:rPr>
        <w:t xml:space="preserve"> </w:t>
      </w:r>
    </w:p>
    <w:p w14:paraId="6C031809" w14:textId="77777777" w:rsidR="00146CE2" w:rsidRPr="00BF0161" w:rsidRDefault="00DB0AA3">
      <w:pPr>
        <w:spacing w:after="120" w:line="360" w:lineRule="auto"/>
        <w:jc w:val="both"/>
        <w:rPr>
          <w:lang w:val="el-GR"/>
        </w:rPr>
      </w:pPr>
      <w:r w:rsidRPr="00BF0161">
        <w:rPr>
          <w:lang w:val="el-GR"/>
        </w:rPr>
        <w:t>Στις νευρολογικές παθήσεις η δυσφαγία αποτελεί το τελικό σύμπτωμα  μιας διαταραχής που λαμβάνει χώρα στις αισθητικοκινητικές δομές των στοματικών και φαρυγγικών σταδίων (</w:t>
      </w:r>
      <w:r>
        <w:rPr>
          <w:lang w:val="en-US"/>
        </w:rPr>
        <w:t>Murry</w:t>
      </w:r>
      <w:r w:rsidRPr="00BF0161">
        <w:rPr>
          <w:lang w:val="el-GR"/>
        </w:rPr>
        <w:t xml:space="preserve"> &amp; </w:t>
      </w:r>
      <w:proofErr w:type="spellStart"/>
      <w:r>
        <w:rPr>
          <w:lang w:val="en-US"/>
        </w:rPr>
        <w:t>Carrau</w:t>
      </w:r>
      <w:proofErr w:type="spellEnd"/>
      <w:r w:rsidRPr="00BF0161">
        <w:rPr>
          <w:lang w:val="el-GR"/>
        </w:rPr>
        <w:t>, 2014).</w:t>
      </w:r>
    </w:p>
    <w:p w14:paraId="4DBE04CF" w14:textId="77777777" w:rsidR="00146CE2" w:rsidRPr="00BF0161" w:rsidRDefault="00DB0AA3">
      <w:pPr>
        <w:spacing w:after="120" w:line="360" w:lineRule="auto"/>
        <w:jc w:val="both"/>
        <w:rPr>
          <w:lang w:val="el-GR"/>
        </w:rPr>
      </w:pPr>
      <w:r w:rsidRPr="00BF0161">
        <w:rPr>
          <w:lang w:val="el-GR"/>
        </w:rPr>
        <w:t>Τα νευρολογικά αίτια της δυσφαγίας είναι:</w:t>
      </w:r>
    </w:p>
    <w:tbl>
      <w:tblPr>
        <w:tblW w:w="0" w:type="auto"/>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firstRow="1" w:lastRow="0" w:firstColumn="1" w:lastColumn="0" w:noHBand="0" w:noVBand="1"/>
      </w:tblPr>
      <w:tblGrid>
        <w:gridCol w:w="3603"/>
        <w:gridCol w:w="5174"/>
      </w:tblGrid>
      <w:tr w:rsidR="00EC4EB6" w14:paraId="1A70FC7B" w14:textId="77777777" w:rsidTr="00EC4EB6">
        <w:trPr>
          <w:trHeight w:val="170"/>
          <w:jc w:val="center"/>
        </w:trPr>
        <w:tc>
          <w:tcPr>
            <w:tcW w:w="360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DCB56A3" w14:textId="77777777" w:rsidR="00EC4EB6" w:rsidRDefault="00EC4EB6">
            <w:pPr>
              <w:spacing w:line="360" w:lineRule="auto"/>
              <w:jc w:val="both"/>
            </w:pPr>
            <w:proofErr w:type="spellStart"/>
            <w:r>
              <w:t>Αγγει</w:t>
            </w:r>
            <w:proofErr w:type="spellEnd"/>
            <w:r>
              <w:t xml:space="preserve">ακό </w:t>
            </w:r>
            <w:proofErr w:type="spellStart"/>
            <w:r>
              <w:t>εγκεφ</w:t>
            </w:r>
            <w:proofErr w:type="spellEnd"/>
            <w:r>
              <w:t>αλικό επ</w:t>
            </w:r>
            <w:proofErr w:type="spellStart"/>
            <w:r>
              <w:t>εισόδιο</w:t>
            </w:r>
            <w:proofErr w:type="spellEnd"/>
          </w:p>
        </w:tc>
        <w:tc>
          <w:tcPr>
            <w:tcW w:w="5174" w:type="dxa"/>
            <w:tcBorders>
              <w:top w:val="single" w:sz="4" w:space="0" w:color="000001"/>
              <w:left w:val="single" w:sz="4" w:space="0" w:color="000001"/>
              <w:bottom w:val="single" w:sz="4" w:space="0" w:color="000001"/>
              <w:right w:val="single" w:sz="4" w:space="0" w:color="000001"/>
            </w:tcBorders>
          </w:tcPr>
          <w:p w14:paraId="4CC77219" w14:textId="77777777" w:rsidR="00EC4EB6" w:rsidRDefault="00EC4EB6">
            <w:pPr>
              <w:spacing w:line="360" w:lineRule="auto"/>
              <w:jc w:val="both"/>
            </w:pPr>
            <w:proofErr w:type="spellStart"/>
            <w:r>
              <w:t>Χορεί</w:t>
            </w:r>
            <w:proofErr w:type="spellEnd"/>
            <w:r>
              <w:t xml:space="preserve">α </w:t>
            </w:r>
            <w:r>
              <w:rPr>
                <w:lang w:val="en-US"/>
              </w:rPr>
              <w:t>Huntington</w:t>
            </w:r>
          </w:p>
        </w:tc>
      </w:tr>
      <w:tr w:rsidR="00EC4EB6" w14:paraId="018BB8DA" w14:textId="77777777" w:rsidTr="00EC4EB6">
        <w:trPr>
          <w:trHeight w:val="170"/>
          <w:jc w:val="center"/>
        </w:trPr>
        <w:tc>
          <w:tcPr>
            <w:tcW w:w="360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B92B486" w14:textId="77777777" w:rsidR="00EC4EB6" w:rsidRDefault="006638E7">
            <w:pPr>
              <w:spacing w:line="360" w:lineRule="auto"/>
              <w:jc w:val="both"/>
              <w:rPr>
                <w:lang w:val="en-US"/>
              </w:rPr>
            </w:pPr>
            <w:r>
              <w:rPr>
                <w:lang w:val="el-GR"/>
              </w:rPr>
              <w:t xml:space="preserve">Νόσος </w:t>
            </w:r>
            <w:r w:rsidR="00EC4EB6">
              <w:rPr>
                <w:lang w:val="en-US"/>
              </w:rPr>
              <w:t xml:space="preserve">Parkinson </w:t>
            </w:r>
          </w:p>
        </w:tc>
        <w:tc>
          <w:tcPr>
            <w:tcW w:w="5174" w:type="dxa"/>
            <w:tcBorders>
              <w:top w:val="single" w:sz="4" w:space="0" w:color="000001"/>
              <w:left w:val="single" w:sz="4" w:space="0" w:color="000001"/>
              <w:bottom w:val="single" w:sz="4" w:space="0" w:color="000001"/>
              <w:right w:val="single" w:sz="4" w:space="0" w:color="000001"/>
            </w:tcBorders>
          </w:tcPr>
          <w:p w14:paraId="46248193" w14:textId="77777777" w:rsidR="00EC4EB6" w:rsidRDefault="00EC4EB6">
            <w:pPr>
              <w:spacing w:line="360" w:lineRule="auto"/>
              <w:jc w:val="both"/>
              <w:rPr>
                <w:lang w:val="en-US"/>
              </w:rPr>
            </w:pPr>
            <w:proofErr w:type="spellStart"/>
            <w:r>
              <w:t>Εγκεφ</w:t>
            </w:r>
            <w:proofErr w:type="spellEnd"/>
            <w:r>
              <w:t xml:space="preserve">αλίτιδα/ </w:t>
            </w:r>
            <w:proofErr w:type="spellStart"/>
            <w:r>
              <w:t>Πολυμυελίτιδ</w:t>
            </w:r>
            <w:proofErr w:type="spellEnd"/>
            <w:r>
              <w:t>α</w:t>
            </w:r>
          </w:p>
        </w:tc>
      </w:tr>
      <w:tr w:rsidR="00EC4EB6" w14:paraId="522BDFAD" w14:textId="77777777" w:rsidTr="00EC4EB6">
        <w:trPr>
          <w:trHeight w:val="170"/>
          <w:jc w:val="center"/>
        </w:trPr>
        <w:tc>
          <w:tcPr>
            <w:tcW w:w="360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83F2B81" w14:textId="77777777" w:rsidR="00EC4EB6" w:rsidRDefault="00EC4EB6">
            <w:pPr>
              <w:spacing w:line="360" w:lineRule="auto"/>
              <w:jc w:val="both"/>
            </w:pPr>
            <w:proofErr w:type="spellStart"/>
            <w:r>
              <w:t>Άνοι</w:t>
            </w:r>
            <w:proofErr w:type="spellEnd"/>
            <w:r>
              <w:t>α (</w:t>
            </w:r>
            <w:proofErr w:type="spellStart"/>
            <w:r>
              <w:t>νόσος</w:t>
            </w:r>
            <w:proofErr w:type="spellEnd"/>
            <w:r>
              <w:t xml:space="preserve"> </w:t>
            </w:r>
            <w:r>
              <w:rPr>
                <w:lang w:val="en-US"/>
              </w:rPr>
              <w:t>Alzheimer</w:t>
            </w:r>
            <w:r>
              <w:t>)</w:t>
            </w:r>
          </w:p>
        </w:tc>
        <w:tc>
          <w:tcPr>
            <w:tcW w:w="5174" w:type="dxa"/>
            <w:tcBorders>
              <w:top w:val="single" w:sz="4" w:space="0" w:color="000001"/>
              <w:left w:val="single" w:sz="4" w:space="0" w:color="000001"/>
              <w:bottom w:val="single" w:sz="4" w:space="0" w:color="000001"/>
              <w:right w:val="single" w:sz="4" w:space="0" w:color="000001"/>
            </w:tcBorders>
          </w:tcPr>
          <w:p w14:paraId="5A74E96D" w14:textId="77777777" w:rsidR="00EC4EB6" w:rsidRDefault="00EC4EB6">
            <w:pPr>
              <w:spacing w:line="360" w:lineRule="auto"/>
              <w:jc w:val="both"/>
            </w:pPr>
            <w:proofErr w:type="spellStart"/>
            <w:r>
              <w:t>Νευρο</w:t>
            </w:r>
            <w:proofErr w:type="spellEnd"/>
            <w:r>
              <w:t xml:space="preserve">πάθειες </w:t>
            </w:r>
          </w:p>
        </w:tc>
      </w:tr>
      <w:tr w:rsidR="00EC4EB6" w14:paraId="7606E046" w14:textId="77777777" w:rsidTr="00EC4EB6">
        <w:trPr>
          <w:trHeight w:val="170"/>
          <w:jc w:val="center"/>
        </w:trPr>
        <w:tc>
          <w:tcPr>
            <w:tcW w:w="360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830CAF5" w14:textId="77777777" w:rsidR="00EC4EB6" w:rsidRDefault="00EC4EB6">
            <w:pPr>
              <w:spacing w:line="360" w:lineRule="auto"/>
              <w:jc w:val="both"/>
            </w:pPr>
            <w:proofErr w:type="spellStart"/>
            <w:r>
              <w:t>Κρ</w:t>
            </w:r>
            <w:proofErr w:type="spellEnd"/>
            <w:r>
              <w:t>ανιοεγκεφαλικές κα</w:t>
            </w:r>
            <w:proofErr w:type="spellStart"/>
            <w:r>
              <w:t>κώσεις</w:t>
            </w:r>
            <w:proofErr w:type="spellEnd"/>
            <w:r>
              <w:t xml:space="preserve"> </w:t>
            </w:r>
          </w:p>
        </w:tc>
        <w:tc>
          <w:tcPr>
            <w:tcW w:w="5174" w:type="dxa"/>
            <w:tcBorders>
              <w:top w:val="single" w:sz="4" w:space="0" w:color="000001"/>
              <w:left w:val="single" w:sz="4" w:space="0" w:color="000001"/>
              <w:bottom w:val="single" w:sz="4" w:space="0" w:color="000001"/>
              <w:right w:val="single" w:sz="4" w:space="0" w:color="000001"/>
            </w:tcBorders>
          </w:tcPr>
          <w:p w14:paraId="02E7146A" w14:textId="77777777" w:rsidR="00EC4EB6" w:rsidRDefault="00EC4EB6">
            <w:pPr>
              <w:spacing w:line="360" w:lineRule="auto"/>
              <w:jc w:val="both"/>
            </w:pPr>
            <w:proofErr w:type="spellStart"/>
            <w:r>
              <w:t>Νόσος</w:t>
            </w:r>
            <w:proofErr w:type="spellEnd"/>
            <w:r>
              <w:t xml:space="preserve"> των </w:t>
            </w:r>
            <w:proofErr w:type="spellStart"/>
            <w:r>
              <w:t>κινητικών</w:t>
            </w:r>
            <w:proofErr w:type="spellEnd"/>
            <w:r>
              <w:t xml:space="preserve"> </w:t>
            </w:r>
            <w:proofErr w:type="spellStart"/>
            <w:r>
              <w:t>νευρώνων</w:t>
            </w:r>
            <w:proofErr w:type="spellEnd"/>
            <w:r>
              <w:t xml:space="preserve"> </w:t>
            </w:r>
          </w:p>
        </w:tc>
      </w:tr>
      <w:tr w:rsidR="00EC4EB6" w:rsidRPr="00950F26" w14:paraId="11D006BA" w14:textId="77777777" w:rsidTr="00EC4EB6">
        <w:trPr>
          <w:trHeight w:val="170"/>
          <w:jc w:val="center"/>
        </w:trPr>
        <w:tc>
          <w:tcPr>
            <w:tcW w:w="360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0D6DF5D" w14:textId="77777777" w:rsidR="00EC4EB6" w:rsidRDefault="00EC4EB6">
            <w:pPr>
              <w:spacing w:line="360" w:lineRule="auto"/>
              <w:jc w:val="both"/>
            </w:pPr>
            <w:proofErr w:type="spellStart"/>
            <w:r>
              <w:t>Σκλήρυνση</w:t>
            </w:r>
            <w:proofErr w:type="spellEnd"/>
            <w:r>
              <w:t xml:space="preserve"> κα</w:t>
            </w:r>
            <w:proofErr w:type="spellStart"/>
            <w:r>
              <w:t>τά</w:t>
            </w:r>
            <w:proofErr w:type="spellEnd"/>
            <w:r>
              <w:t xml:space="preserve"> π</w:t>
            </w:r>
            <w:proofErr w:type="spellStart"/>
            <w:r>
              <w:t>λάκ</w:t>
            </w:r>
            <w:proofErr w:type="spellEnd"/>
            <w:r>
              <w:t>ας</w:t>
            </w:r>
          </w:p>
        </w:tc>
        <w:tc>
          <w:tcPr>
            <w:tcW w:w="5174" w:type="dxa"/>
            <w:tcBorders>
              <w:top w:val="single" w:sz="4" w:space="0" w:color="000001"/>
              <w:left w:val="single" w:sz="4" w:space="0" w:color="000001"/>
              <w:bottom w:val="single" w:sz="4" w:space="0" w:color="000001"/>
              <w:right w:val="single" w:sz="4" w:space="0" w:color="000001"/>
            </w:tcBorders>
          </w:tcPr>
          <w:p w14:paraId="4E4395A0" w14:textId="77777777" w:rsidR="00EC4EB6" w:rsidRPr="00BF0161" w:rsidRDefault="00EC4EB6">
            <w:pPr>
              <w:spacing w:line="360" w:lineRule="auto"/>
              <w:jc w:val="both"/>
              <w:rPr>
                <w:lang w:val="el-GR"/>
              </w:rPr>
            </w:pPr>
            <w:r w:rsidRPr="00BF0161">
              <w:rPr>
                <w:lang w:val="el-GR"/>
              </w:rPr>
              <w:t xml:space="preserve">Μυοπάθεια (Μυϊκή δυστροφία / </w:t>
            </w:r>
            <w:proofErr w:type="spellStart"/>
            <w:r w:rsidRPr="00BF0161">
              <w:rPr>
                <w:lang w:val="el-GR"/>
              </w:rPr>
              <w:t>Μυοτονική</w:t>
            </w:r>
            <w:proofErr w:type="spellEnd"/>
            <w:r w:rsidRPr="00BF0161">
              <w:rPr>
                <w:lang w:val="el-GR"/>
              </w:rPr>
              <w:t xml:space="preserve"> δυστροφία)</w:t>
            </w:r>
          </w:p>
        </w:tc>
      </w:tr>
      <w:tr w:rsidR="00EC4EB6" w14:paraId="17EE85D4" w14:textId="77777777" w:rsidTr="00EC4EB6">
        <w:trPr>
          <w:trHeight w:val="170"/>
          <w:jc w:val="center"/>
        </w:trPr>
        <w:tc>
          <w:tcPr>
            <w:tcW w:w="360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49EC637" w14:textId="77777777" w:rsidR="00EC4EB6" w:rsidRDefault="00EC4EB6">
            <w:pPr>
              <w:spacing w:line="360" w:lineRule="auto"/>
              <w:jc w:val="both"/>
            </w:pPr>
            <w:proofErr w:type="spellStart"/>
            <w:r>
              <w:t>Εγκεφ</w:t>
            </w:r>
            <w:proofErr w:type="spellEnd"/>
            <w:r>
              <w:t>αλική πα</w:t>
            </w:r>
            <w:proofErr w:type="spellStart"/>
            <w:r>
              <w:t>ράλυση</w:t>
            </w:r>
            <w:proofErr w:type="spellEnd"/>
            <w:r>
              <w:t xml:space="preserve"> </w:t>
            </w:r>
          </w:p>
        </w:tc>
        <w:tc>
          <w:tcPr>
            <w:tcW w:w="5174" w:type="dxa"/>
            <w:tcBorders>
              <w:top w:val="single" w:sz="4" w:space="0" w:color="000001"/>
              <w:left w:val="single" w:sz="4" w:space="0" w:color="000001"/>
              <w:bottom w:val="single" w:sz="4" w:space="0" w:color="000001"/>
              <w:right w:val="single" w:sz="4" w:space="0" w:color="000001"/>
            </w:tcBorders>
          </w:tcPr>
          <w:p w14:paraId="0A27121D" w14:textId="77777777" w:rsidR="00EC4EB6" w:rsidRDefault="00EC4EB6">
            <w:pPr>
              <w:spacing w:line="360" w:lineRule="auto"/>
              <w:jc w:val="both"/>
            </w:pPr>
            <w:proofErr w:type="spellStart"/>
            <w:r w:rsidRPr="002348A1">
              <w:rPr>
                <w:lang w:val="en-US"/>
              </w:rPr>
              <w:t>Σύνδρομο</w:t>
            </w:r>
            <w:proofErr w:type="spellEnd"/>
            <w:r w:rsidRPr="002348A1">
              <w:rPr>
                <w:lang w:val="en-US"/>
              </w:rPr>
              <w:t xml:space="preserve"> </w:t>
            </w:r>
            <w:proofErr w:type="spellStart"/>
            <w:r>
              <w:rPr>
                <w:lang w:val="en-US"/>
              </w:rPr>
              <w:t>Guillain</w:t>
            </w:r>
            <w:proofErr w:type="spellEnd"/>
            <w:r>
              <w:rPr>
                <w:lang w:val="en-US"/>
              </w:rPr>
              <w:t>- Barre</w:t>
            </w:r>
          </w:p>
        </w:tc>
      </w:tr>
      <w:tr w:rsidR="00EC4EB6" w14:paraId="331DD5DD" w14:textId="77777777" w:rsidTr="00EC4EB6">
        <w:trPr>
          <w:trHeight w:val="170"/>
          <w:jc w:val="center"/>
        </w:trPr>
        <w:tc>
          <w:tcPr>
            <w:tcW w:w="360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490DEB2" w14:textId="77777777" w:rsidR="00EC4EB6" w:rsidRDefault="00EC4EB6">
            <w:pPr>
              <w:spacing w:line="360" w:lineRule="auto"/>
              <w:jc w:val="both"/>
              <w:rPr>
                <w:lang w:val="en-US"/>
              </w:rPr>
            </w:pPr>
            <w:proofErr w:type="spellStart"/>
            <w:r>
              <w:lastRenderedPageBreak/>
              <w:t>Μυ</w:t>
            </w:r>
            <w:proofErr w:type="spellEnd"/>
            <w:r>
              <w:t xml:space="preserve">ασθένεια </w:t>
            </w:r>
            <w:r>
              <w:rPr>
                <w:lang w:val="en-US"/>
              </w:rPr>
              <w:t>Gravis</w:t>
            </w:r>
          </w:p>
        </w:tc>
        <w:tc>
          <w:tcPr>
            <w:tcW w:w="5174" w:type="dxa"/>
            <w:tcBorders>
              <w:top w:val="single" w:sz="4" w:space="0" w:color="000001"/>
              <w:left w:val="single" w:sz="4" w:space="0" w:color="000001"/>
              <w:bottom w:val="single" w:sz="4" w:space="0" w:color="000001"/>
              <w:right w:val="single" w:sz="4" w:space="0" w:color="000001"/>
            </w:tcBorders>
          </w:tcPr>
          <w:p w14:paraId="34BC33D9" w14:textId="77777777" w:rsidR="00EC4EB6" w:rsidRDefault="00EC4EB6">
            <w:pPr>
              <w:spacing w:line="360" w:lineRule="auto"/>
              <w:jc w:val="both"/>
            </w:pPr>
            <w:proofErr w:type="spellStart"/>
            <w:r w:rsidRPr="002348A1">
              <w:rPr>
                <w:lang w:val="en-US"/>
              </w:rPr>
              <w:t>Μηνιγγίτιδ</w:t>
            </w:r>
            <w:proofErr w:type="spellEnd"/>
            <w:r w:rsidRPr="002348A1">
              <w:rPr>
                <w:lang w:val="en-US"/>
              </w:rPr>
              <w:t>α</w:t>
            </w:r>
          </w:p>
        </w:tc>
      </w:tr>
      <w:tr w:rsidR="00EC4EB6" w14:paraId="560EFD2D" w14:textId="77777777" w:rsidTr="00EC4EB6">
        <w:trPr>
          <w:trHeight w:val="170"/>
          <w:jc w:val="center"/>
        </w:trPr>
        <w:tc>
          <w:tcPr>
            <w:tcW w:w="360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AA24472" w14:textId="77777777" w:rsidR="00EC4EB6" w:rsidRDefault="00EC4EB6">
            <w:pPr>
              <w:spacing w:line="360" w:lineRule="auto"/>
              <w:jc w:val="both"/>
            </w:pPr>
            <w:r>
              <w:t>Πα</w:t>
            </w:r>
            <w:proofErr w:type="spellStart"/>
            <w:r>
              <w:t>ρενέργειες</w:t>
            </w:r>
            <w:proofErr w:type="spellEnd"/>
            <w:r>
              <w:t xml:space="preserve"> φα</w:t>
            </w:r>
            <w:proofErr w:type="spellStart"/>
            <w:r>
              <w:t>ρμάκων</w:t>
            </w:r>
            <w:proofErr w:type="spellEnd"/>
          </w:p>
        </w:tc>
        <w:tc>
          <w:tcPr>
            <w:tcW w:w="5174" w:type="dxa"/>
            <w:tcBorders>
              <w:top w:val="single" w:sz="4" w:space="0" w:color="000001"/>
              <w:left w:val="single" w:sz="4" w:space="0" w:color="000001"/>
              <w:bottom w:val="single" w:sz="4" w:space="0" w:color="000001"/>
              <w:right w:val="single" w:sz="4" w:space="0" w:color="000001"/>
            </w:tcBorders>
          </w:tcPr>
          <w:p w14:paraId="5E2895FD" w14:textId="77777777" w:rsidR="00EC4EB6" w:rsidRDefault="00EC4EB6">
            <w:pPr>
              <w:spacing w:line="360" w:lineRule="auto"/>
              <w:jc w:val="both"/>
            </w:pPr>
            <w:proofErr w:type="spellStart"/>
            <w:r w:rsidRPr="002348A1">
              <w:rPr>
                <w:lang w:val="en-US"/>
              </w:rPr>
              <w:t>Δηλητηριάσεις</w:t>
            </w:r>
            <w:proofErr w:type="spellEnd"/>
          </w:p>
        </w:tc>
      </w:tr>
    </w:tbl>
    <w:p w14:paraId="18138144" w14:textId="77777777" w:rsidR="00146CE2" w:rsidRDefault="00146CE2">
      <w:pPr>
        <w:spacing w:after="120" w:line="360" w:lineRule="auto"/>
        <w:jc w:val="both"/>
        <w:rPr>
          <w:b/>
        </w:rPr>
      </w:pPr>
    </w:p>
    <w:p w14:paraId="3F52BFFB" w14:textId="77777777" w:rsidR="00146CE2" w:rsidRDefault="00DB0AA3">
      <w:pPr>
        <w:spacing w:after="120" w:line="360" w:lineRule="auto"/>
        <w:jc w:val="both"/>
      </w:pPr>
      <w:proofErr w:type="spellStart"/>
      <w:r>
        <w:rPr>
          <w:b/>
        </w:rPr>
        <w:t>Πίν</w:t>
      </w:r>
      <w:proofErr w:type="spellEnd"/>
      <w:r>
        <w:rPr>
          <w:b/>
        </w:rPr>
        <w:t>ακας 1.1</w:t>
      </w:r>
      <w:r>
        <w:t xml:space="preserve"> </w:t>
      </w:r>
      <w:proofErr w:type="spellStart"/>
      <w:r>
        <w:t>Νευρολογικά</w:t>
      </w:r>
      <w:proofErr w:type="spellEnd"/>
      <w:r>
        <w:t xml:space="preserve"> α</w:t>
      </w:r>
      <w:proofErr w:type="spellStart"/>
      <w:r>
        <w:t>ίτι</w:t>
      </w:r>
      <w:proofErr w:type="spellEnd"/>
      <w:r>
        <w:t xml:space="preserve">α </w:t>
      </w:r>
      <w:proofErr w:type="spellStart"/>
      <w:r>
        <w:t>δυσφ</w:t>
      </w:r>
      <w:proofErr w:type="spellEnd"/>
      <w:r>
        <w:t>αγίας /</w:t>
      </w:r>
      <w:proofErr w:type="spellStart"/>
      <w:r>
        <w:t>Πηγές</w:t>
      </w:r>
      <w:proofErr w:type="spellEnd"/>
      <w:r>
        <w:t xml:space="preserve">: </w:t>
      </w:r>
      <w:r>
        <w:rPr>
          <w:lang w:val="en-US"/>
        </w:rPr>
        <w:t>Corbin</w:t>
      </w:r>
      <w:r>
        <w:t xml:space="preserve">- </w:t>
      </w:r>
      <w:r>
        <w:rPr>
          <w:lang w:val="en-US"/>
        </w:rPr>
        <w:t>Lewis</w:t>
      </w:r>
      <w:r>
        <w:t xml:space="preserve">, </w:t>
      </w:r>
      <w:proofErr w:type="spellStart"/>
      <w:r>
        <w:rPr>
          <w:lang w:val="en-US"/>
        </w:rPr>
        <w:t>Liss</w:t>
      </w:r>
      <w:proofErr w:type="spellEnd"/>
      <w:r>
        <w:t xml:space="preserve"> &amp; </w:t>
      </w:r>
      <w:proofErr w:type="spellStart"/>
      <w:r>
        <w:rPr>
          <w:lang w:val="en-US"/>
        </w:rPr>
        <w:t>Sciortino</w:t>
      </w:r>
      <w:proofErr w:type="spellEnd"/>
      <w:r>
        <w:t xml:space="preserve"> (2004), </w:t>
      </w:r>
      <w:proofErr w:type="spellStart"/>
      <w:r>
        <w:rPr>
          <w:lang w:val="en-US"/>
        </w:rPr>
        <w:t>Groher</w:t>
      </w:r>
      <w:proofErr w:type="spellEnd"/>
      <w:r>
        <w:t xml:space="preserve"> (1997), </w:t>
      </w:r>
      <w:r>
        <w:rPr>
          <w:lang w:val="en-US"/>
        </w:rPr>
        <w:t>Murry</w:t>
      </w:r>
      <w:r>
        <w:t xml:space="preserve"> &amp; </w:t>
      </w:r>
      <w:proofErr w:type="spellStart"/>
      <w:r>
        <w:rPr>
          <w:lang w:val="en-US"/>
        </w:rPr>
        <w:t>Carrau</w:t>
      </w:r>
      <w:proofErr w:type="spellEnd"/>
      <w:r>
        <w:t xml:space="preserve"> (2014), </w:t>
      </w:r>
      <w:proofErr w:type="spellStart"/>
      <w:r>
        <w:rPr>
          <w:lang w:val="en-US"/>
        </w:rPr>
        <w:t>Schindelmeiser</w:t>
      </w:r>
      <w:proofErr w:type="spellEnd"/>
      <w:r>
        <w:t xml:space="preserve"> (2013).</w:t>
      </w:r>
    </w:p>
    <w:p w14:paraId="649BD573" w14:textId="77777777" w:rsidR="00146CE2" w:rsidRDefault="00146CE2">
      <w:pPr>
        <w:spacing w:after="120" w:line="360" w:lineRule="auto"/>
        <w:jc w:val="both"/>
      </w:pPr>
    </w:p>
    <w:p w14:paraId="495891BD" w14:textId="77777777" w:rsidR="00146CE2" w:rsidRPr="00BF0161" w:rsidRDefault="00DB0AA3">
      <w:pPr>
        <w:spacing w:after="120" w:line="360" w:lineRule="auto"/>
        <w:jc w:val="both"/>
        <w:rPr>
          <w:lang w:val="el-GR"/>
        </w:rPr>
      </w:pPr>
      <w:r w:rsidRPr="00BF0161">
        <w:rPr>
          <w:b/>
          <w:lang w:val="el-GR"/>
        </w:rPr>
        <w:t xml:space="preserve">Αγγειακό εγκεφαλικό επεισόδιο: </w:t>
      </w:r>
      <w:r w:rsidRPr="00BF0161">
        <w:rPr>
          <w:lang w:val="el-GR"/>
        </w:rPr>
        <w:t>Τα αγγειακά εγκεφαλικά επεισόδια (ΑΕΕ) είναι πιθανόν η πιο συχνή αιτία νευρολογικής δυσφαγίας (</w:t>
      </w:r>
      <w:proofErr w:type="spellStart"/>
      <w:r>
        <w:rPr>
          <w:lang w:val="en-US"/>
        </w:rPr>
        <w:t>Groher</w:t>
      </w:r>
      <w:proofErr w:type="spellEnd"/>
      <w:r w:rsidRPr="00BF0161">
        <w:rPr>
          <w:lang w:val="el-GR"/>
        </w:rPr>
        <w:t>, 1997). Οι διαταραχές κατάποσης παρατηρούνται σε ποσοστό περίπου 30% των ΑΕΕ (</w:t>
      </w:r>
      <w:proofErr w:type="spellStart"/>
      <w:r>
        <w:rPr>
          <w:lang w:val="en-US"/>
        </w:rPr>
        <w:t>Bigenzahn</w:t>
      </w:r>
      <w:proofErr w:type="spellEnd"/>
      <w:r w:rsidRPr="00BF0161">
        <w:rPr>
          <w:lang w:val="el-GR"/>
        </w:rPr>
        <w:t xml:space="preserve"> &amp; </w:t>
      </w:r>
      <w:proofErr w:type="spellStart"/>
      <w:r>
        <w:rPr>
          <w:lang w:val="en-US"/>
        </w:rPr>
        <w:t>Denk</w:t>
      </w:r>
      <w:proofErr w:type="spellEnd"/>
      <w:r w:rsidRPr="00BF0161">
        <w:rPr>
          <w:lang w:val="el-GR"/>
        </w:rPr>
        <w:t xml:space="preserve">, 2007). Ο </w:t>
      </w:r>
      <w:r>
        <w:rPr>
          <w:lang w:val="en-US"/>
        </w:rPr>
        <w:t>Henry</w:t>
      </w:r>
      <w:r w:rsidRPr="00BF0161">
        <w:rPr>
          <w:lang w:val="el-GR"/>
        </w:rPr>
        <w:t xml:space="preserve"> </w:t>
      </w:r>
      <w:r>
        <w:rPr>
          <w:lang w:val="en-US"/>
        </w:rPr>
        <w:t>Charlton</w:t>
      </w:r>
      <w:r w:rsidRPr="00BF0161">
        <w:rPr>
          <w:lang w:val="el-GR"/>
        </w:rPr>
        <w:t xml:space="preserve"> </w:t>
      </w:r>
      <w:r>
        <w:rPr>
          <w:lang w:val="en-US"/>
        </w:rPr>
        <w:t>Bastian</w:t>
      </w:r>
      <w:r w:rsidRPr="00BF0161">
        <w:rPr>
          <w:lang w:val="el-GR"/>
        </w:rPr>
        <w:t xml:space="preserve"> το 1898 ήταν ο πρώτος που συνέδεσε τα εγκεφαλικά επεισόδια με τη δυσφαγία μελετώντας έναν από τους ασθενείς του. Ο </w:t>
      </w:r>
      <w:proofErr w:type="spellStart"/>
      <w:r>
        <w:rPr>
          <w:lang w:val="en-US"/>
        </w:rPr>
        <w:t>Groher</w:t>
      </w:r>
      <w:proofErr w:type="spellEnd"/>
      <w:r w:rsidRPr="00BF0161">
        <w:rPr>
          <w:lang w:val="el-GR"/>
        </w:rPr>
        <w:t xml:space="preserve"> (1997) αναφέρει ότι φαίνεται να υπάρχουν διαφορές στον αντίκτυπο του ΑΕΕ στο στοματικό και φαρυγγικό στάδιο, ανάλογα με το που εντοπίζεται, δεξί ή αριστερό ημισφαίριο. Ασθενείς με ΑΕΕ στο αριστερό ημισφαίριο εμφανίζουν απραξία και μεγαλύτερες δυσκολίες στο στοματικό στάδιο κατάποσης. Αντίθετα, οι ασθενείς με ΑΕΕ δεξιού ημισφαιρίου παρουσιάζουν δυσκολίες στη φαρυγγική φάση με εισρόφηση και κατακράτηση υπολειμμάτων στον φάρυγγα. </w:t>
      </w:r>
      <w:r w:rsidRPr="00BF0161">
        <w:rPr>
          <w:lang w:val="el-GR"/>
        </w:rPr>
        <w:lastRenderedPageBreak/>
        <w:t>Το 50% των ατόμων που έχο</w:t>
      </w:r>
      <w:r w:rsidR="00DF2BF4" w:rsidRPr="00BF0161">
        <w:rPr>
          <w:lang w:val="el-GR"/>
        </w:rPr>
        <w:t xml:space="preserve">υν πληγεί με ΑΕΕ </w:t>
      </w:r>
      <w:proofErr w:type="spellStart"/>
      <w:r w:rsidR="00DF2BF4" w:rsidRPr="00BF0161">
        <w:rPr>
          <w:lang w:val="el-GR"/>
        </w:rPr>
        <w:t>αμφοτερόπλευρα</w:t>
      </w:r>
      <w:proofErr w:type="spellEnd"/>
      <w:r w:rsidRPr="00BF0161">
        <w:rPr>
          <w:lang w:val="el-GR"/>
        </w:rPr>
        <w:t xml:space="preserve">, τείνουν να </w:t>
      </w:r>
      <w:proofErr w:type="spellStart"/>
      <w:r w:rsidRPr="00BF0161">
        <w:rPr>
          <w:lang w:val="el-GR"/>
        </w:rPr>
        <w:t>εισροφούν</w:t>
      </w:r>
      <w:proofErr w:type="spellEnd"/>
      <w:r w:rsidRPr="00BF0161">
        <w:rPr>
          <w:lang w:val="el-GR"/>
        </w:rPr>
        <w:t>. ΑΕΕ που εντοπίζονται στη περιοχή του στελέχους προκαλούν σοβαρότερες δυσλειτουργίες στην κατάποση, απ' ότι τα ημισφαιρικά (</w:t>
      </w:r>
      <w:r>
        <w:rPr>
          <w:lang w:val="en-US"/>
        </w:rPr>
        <w:t>Murry</w:t>
      </w:r>
      <w:r w:rsidRPr="00BF0161">
        <w:rPr>
          <w:lang w:val="el-GR"/>
        </w:rPr>
        <w:t xml:space="preserve"> &amp; </w:t>
      </w:r>
      <w:proofErr w:type="spellStart"/>
      <w:r>
        <w:rPr>
          <w:lang w:val="en-US"/>
        </w:rPr>
        <w:t>Carrau</w:t>
      </w:r>
      <w:proofErr w:type="spellEnd"/>
      <w:r w:rsidRPr="00BF0161">
        <w:rPr>
          <w:lang w:val="el-GR"/>
        </w:rPr>
        <w:t>, 2014).</w:t>
      </w:r>
    </w:p>
    <w:p w14:paraId="65DBEE41" w14:textId="77777777" w:rsidR="002348A1" w:rsidRPr="00BF0161" w:rsidRDefault="002348A1">
      <w:pPr>
        <w:spacing w:after="120" w:line="360" w:lineRule="auto"/>
        <w:jc w:val="both"/>
        <w:rPr>
          <w:b/>
          <w:lang w:val="el-GR"/>
        </w:rPr>
      </w:pPr>
    </w:p>
    <w:p w14:paraId="41501159" w14:textId="77777777" w:rsidR="00146CE2" w:rsidRPr="00BF0161" w:rsidRDefault="00DB0AA3">
      <w:pPr>
        <w:spacing w:after="120" w:line="360" w:lineRule="auto"/>
        <w:jc w:val="both"/>
        <w:rPr>
          <w:lang w:val="el-GR"/>
        </w:rPr>
      </w:pPr>
      <w:r w:rsidRPr="00BF0161">
        <w:rPr>
          <w:b/>
          <w:lang w:val="el-GR"/>
        </w:rPr>
        <w:t xml:space="preserve">Νόσος </w:t>
      </w:r>
      <w:r>
        <w:rPr>
          <w:b/>
          <w:lang w:val="en-US"/>
        </w:rPr>
        <w:t>Parkinson</w:t>
      </w:r>
      <w:r w:rsidRPr="00BF0161">
        <w:rPr>
          <w:b/>
          <w:lang w:val="el-GR"/>
        </w:rPr>
        <w:t xml:space="preserve">: </w:t>
      </w:r>
      <w:r w:rsidRPr="00BF0161">
        <w:rPr>
          <w:lang w:val="el-GR"/>
        </w:rPr>
        <w:t xml:space="preserve">Η νόσος </w:t>
      </w:r>
      <w:r>
        <w:rPr>
          <w:lang w:val="en-US"/>
        </w:rPr>
        <w:t>Parkinson</w:t>
      </w:r>
      <w:r w:rsidRPr="00BF0161">
        <w:rPr>
          <w:lang w:val="el-GR"/>
        </w:rPr>
        <w:t xml:space="preserve">  είναι μια προοδευτική </w:t>
      </w:r>
      <w:proofErr w:type="spellStart"/>
      <w:r w:rsidRPr="00BF0161">
        <w:rPr>
          <w:lang w:val="el-GR"/>
        </w:rPr>
        <w:t>νευροεκφυλιστική</w:t>
      </w:r>
      <w:proofErr w:type="spellEnd"/>
      <w:r w:rsidRPr="00BF0161">
        <w:rPr>
          <w:lang w:val="el-GR"/>
        </w:rPr>
        <w:t xml:space="preserve"> πάθηση σε </w:t>
      </w:r>
      <w:proofErr w:type="spellStart"/>
      <w:r w:rsidRPr="00BF0161">
        <w:rPr>
          <w:lang w:val="el-GR"/>
        </w:rPr>
        <w:t>υποφλοιώδεις</w:t>
      </w:r>
      <w:proofErr w:type="spellEnd"/>
      <w:r w:rsidRPr="00BF0161">
        <w:rPr>
          <w:lang w:val="el-GR"/>
        </w:rPr>
        <w:t xml:space="preserve"> περιοχές του εγκεφάλου και στο εγκεφαλικό στέλεχος (</w:t>
      </w:r>
      <w:proofErr w:type="spellStart"/>
      <w:r>
        <w:rPr>
          <w:lang w:val="en-US"/>
        </w:rPr>
        <w:t>Groher</w:t>
      </w:r>
      <w:proofErr w:type="spellEnd"/>
      <w:r w:rsidRPr="00BF0161">
        <w:rPr>
          <w:lang w:val="el-GR"/>
        </w:rPr>
        <w:t xml:space="preserve">, 2014) και ευθύνεται στην ανεπάρκεια </w:t>
      </w:r>
      <w:proofErr w:type="spellStart"/>
      <w:r w:rsidRPr="00BF0161">
        <w:rPr>
          <w:lang w:val="el-GR"/>
        </w:rPr>
        <w:t>ντοπαμίνης</w:t>
      </w:r>
      <w:proofErr w:type="spellEnd"/>
      <w:r w:rsidRPr="00BF0161">
        <w:rPr>
          <w:lang w:val="el-GR"/>
        </w:rPr>
        <w:t xml:space="preserve"> στο ραβδωτό σώμα. Άτομα ηλικίας 40 έως 70 ετών είναι πιο πιθανό να εμφανίσουν την νόσο. Καθώς η ασθένεια σταδιακά επιδεινώνεται εμφανίζονται διαταραχές στην κατάποση σε όλα τα στάδια (</w:t>
      </w:r>
      <w:proofErr w:type="spellStart"/>
      <w:r>
        <w:rPr>
          <w:lang w:val="en-US"/>
        </w:rPr>
        <w:t>Rosenbek</w:t>
      </w:r>
      <w:proofErr w:type="spellEnd"/>
      <w:r w:rsidRPr="00BF0161">
        <w:rPr>
          <w:lang w:val="el-GR"/>
        </w:rPr>
        <w:t xml:space="preserve"> &amp; </w:t>
      </w:r>
      <w:r>
        <w:rPr>
          <w:lang w:val="en-US"/>
        </w:rPr>
        <w:t>Jones</w:t>
      </w:r>
      <w:r w:rsidRPr="00BF0161">
        <w:rPr>
          <w:lang w:val="el-GR"/>
        </w:rPr>
        <w:t>, 2015). Οι ασθενείς παρουσιάζουν από συμπτώματα αδυναμίας στην κινητικότητα των αρθρωτών, μη φυσιολογική στάση κεφαλής και λαιμού, έως καθυστερημένη κατάποση και σιωπηλή εισρόφηση (</w:t>
      </w:r>
      <w:r>
        <w:rPr>
          <w:lang w:val="en-US"/>
        </w:rPr>
        <w:t>Corbin</w:t>
      </w:r>
      <w:r w:rsidRPr="00BF0161">
        <w:rPr>
          <w:lang w:val="el-GR"/>
        </w:rPr>
        <w:t xml:space="preserve">- </w:t>
      </w:r>
      <w:r>
        <w:rPr>
          <w:lang w:val="en-US"/>
        </w:rPr>
        <w:t>Lewis</w:t>
      </w:r>
      <w:r w:rsidRPr="00BF0161">
        <w:rPr>
          <w:lang w:val="el-GR"/>
        </w:rPr>
        <w:t xml:space="preserve">, </w:t>
      </w:r>
      <w:proofErr w:type="spellStart"/>
      <w:r>
        <w:rPr>
          <w:lang w:val="en-US"/>
        </w:rPr>
        <w:t>Liss</w:t>
      </w:r>
      <w:proofErr w:type="spellEnd"/>
      <w:r w:rsidRPr="00BF0161">
        <w:rPr>
          <w:lang w:val="el-GR"/>
        </w:rPr>
        <w:t xml:space="preserve"> &amp; </w:t>
      </w:r>
      <w:proofErr w:type="spellStart"/>
      <w:r>
        <w:rPr>
          <w:lang w:val="en-US"/>
        </w:rPr>
        <w:t>Sciortino</w:t>
      </w:r>
      <w:proofErr w:type="spellEnd"/>
      <w:r w:rsidRPr="00BF0161">
        <w:rPr>
          <w:lang w:val="el-GR"/>
        </w:rPr>
        <w:t xml:space="preserve">, 2004).  </w:t>
      </w:r>
    </w:p>
    <w:p w14:paraId="37B66617" w14:textId="77777777" w:rsidR="002348A1" w:rsidRPr="00BF0161" w:rsidRDefault="002348A1">
      <w:pPr>
        <w:spacing w:after="120" w:line="360" w:lineRule="auto"/>
        <w:jc w:val="both"/>
        <w:rPr>
          <w:b/>
          <w:lang w:val="el-GR"/>
        </w:rPr>
      </w:pPr>
    </w:p>
    <w:p w14:paraId="6B774344" w14:textId="77777777" w:rsidR="00146CE2" w:rsidRPr="00BF0161" w:rsidRDefault="00DB0AA3">
      <w:pPr>
        <w:spacing w:after="120" w:line="360" w:lineRule="auto"/>
        <w:jc w:val="both"/>
        <w:rPr>
          <w:lang w:val="el-GR"/>
        </w:rPr>
      </w:pPr>
      <w:r w:rsidRPr="00BF0161">
        <w:rPr>
          <w:b/>
          <w:lang w:val="el-GR"/>
        </w:rPr>
        <w:t xml:space="preserve">Άνοια (νόσος </w:t>
      </w:r>
      <w:r>
        <w:rPr>
          <w:b/>
          <w:lang w:val="en-US"/>
        </w:rPr>
        <w:t>Alzheimer</w:t>
      </w:r>
      <w:r w:rsidRPr="00BF0161">
        <w:rPr>
          <w:b/>
          <w:lang w:val="el-GR"/>
        </w:rPr>
        <w:t xml:space="preserve">): </w:t>
      </w:r>
      <w:r w:rsidRPr="00BF0161">
        <w:rPr>
          <w:lang w:val="el-GR"/>
        </w:rPr>
        <w:t xml:space="preserve">Η άνοια, όπως αναφέρουν οι </w:t>
      </w:r>
      <w:r>
        <w:rPr>
          <w:lang w:val="en-US"/>
        </w:rPr>
        <w:t>Murry</w:t>
      </w:r>
      <w:r w:rsidRPr="00BF0161">
        <w:rPr>
          <w:lang w:val="el-GR"/>
        </w:rPr>
        <w:t xml:space="preserve"> &amp; </w:t>
      </w:r>
      <w:proofErr w:type="spellStart"/>
      <w:r>
        <w:rPr>
          <w:lang w:val="en-US"/>
        </w:rPr>
        <w:t>Carrau</w:t>
      </w:r>
      <w:proofErr w:type="spellEnd"/>
      <w:r w:rsidRPr="00BF0161">
        <w:rPr>
          <w:lang w:val="el-GR"/>
        </w:rPr>
        <w:t xml:space="preserve">  (2014), είναι «</w:t>
      </w:r>
      <w:r w:rsidRPr="00BF0161">
        <w:rPr>
          <w:i/>
          <w:lang w:val="el-GR"/>
        </w:rPr>
        <w:t xml:space="preserve">η αδυναμία επιτέλεσης λειτουργιών εξαιτίας της απώλειας της </w:t>
      </w:r>
      <w:r w:rsidRPr="00BF0161">
        <w:rPr>
          <w:i/>
          <w:lang w:val="el-GR"/>
        </w:rPr>
        <w:lastRenderedPageBreak/>
        <w:t>νοητικής ικανότητας».</w:t>
      </w:r>
      <w:r w:rsidRPr="00BF0161">
        <w:rPr>
          <w:lang w:val="el-GR"/>
        </w:rPr>
        <w:t xml:space="preserve"> Αυτή η  απώλεια συνδέεται άμεσα με την περιοχή του εγκεφάλου που εντοπίζεται η βλάβη.</w:t>
      </w:r>
      <w:r w:rsidRPr="00BF0161">
        <w:rPr>
          <w:i/>
          <w:lang w:val="el-GR"/>
        </w:rPr>
        <w:t xml:space="preserve"> </w:t>
      </w:r>
      <w:r w:rsidRPr="00BF0161">
        <w:rPr>
          <w:lang w:val="el-GR"/>
        </w:rPr>
        <w:t>Δεν σχετίζεται με αισθητικοκινητικές βλάβες στην στοματική και φαρυγγική κοιλότητα παρόλα αυτά, είναι αιτία διαταραχών κατάποσης (</w:t>
      </w:r>
      <w:proofErr w:type="spellStart"/>
      <w:r>
        <w:rPr>
          <w:lang w:val="en-US"/>
        </w:rPr>
        <w:t>Bigenzahn</w:t>
      </w:r>
      <w:proofErr w:type="spellEnd"/>
      <w:r w:rsidRPr="00BF0161">
        <w:rPr>
          <w:lang w:val="el-GR"/>
        </w:rPr>
        <w:t xml:space="preserve"> &amp; </w:t>
      </w:r>
      <w:proofErr w:type="spellStart"/>
      <w:r>
        <w:rPr>
          <w:lang w:val="en-US"/>
        </w:rPr>
        <w:t>Denk</w:t>
      </w:r>
      <w:proofErr w:type="spellEnd"/>
      <w:r w:rsidRPr="00BF0161">
        <w:rPr>
          <w:lang w:val="el-GR"/>
        </w:rPr>
        <w:t>, 2007). Οι προαναφερθείσες διαταραχές είναι απόρροια της διανοητικής αδυναμίας του ασθενούς και παρεμβαίνουν σε αναγκαίες εκούσιες λειτουργίες, δηλαδή την προετοιμασία του φαγητού, την μεταφορά του από το πιάτο στην στοματική κοιλότητα, το σχηματισμό του βλωμού έως και την έναρξη της κατάποσης (</w:t>
      </w:r>
      <w:proofErr w:type="spellStart"/>
      <w:r>
        <w:rPr>
          <w:lang w:val="en-US"/>
        </w:rPr>
        <w:t>Groher</w:t>
      </w:r>
      <w:proofErr w:type="spellEnd"/>
      <w:r w:rsidRPr="00BF0161">
        <w:rPr>
          <w:lang w:val="el-GR"/>
        </w:rPr>
        <w:t>, 1997). Η ασθένεια τείνει να εμφανίζεται σε άτομα ηλικίας άνω των 65 ετών (</w:t>
      </w:r>
      <w:r>
        <w:rPr>
          <w:lang w:val="en-US"/>
        </w:rPr>
        <w:t>Rubinstein</w:t>
      </w:r>
      <w:r w:rsidRPr="00BF0161">
        <w:rPr>
          <w:lang w:val="el-GR"/>
        </w:rPr>
        <w:t xml:space="preserve">, 2000). Η νόσος του </w:t>
      </w:r>
      <w:r>
        <w:rPr>
          <w:lang w:val="en-US"/>
        </w:rPr>
        <w:t>Alzheimer</w:t>
      </w:r>
      <w:r w:rsidRPr="00BF0161">
        <w:rPr>
          <w:lang w:val="el-GR"/>
        </w:rPr>
        <w:t xml:space="preserve"> αποτελεί την πιο συχνή αιτία άνοιας (</w:t>
      </w:r>
      <w:proofErr w:type="spellStart"/>
      <w:r>
        <w:rPr>
          <w:lang w:val="en-US"/>
        </w:rPr>
        <w:t>Bigenzahn</w:t>
      </w:r>
      <w:proofErr w:type="spellEnd"/>
      <w:r w:rsidRPr="00BF0161">
        <w:rPr>
          <w:lang w:val="el-GR"/>
        </w:rPr>
        <w:t xml:space="preserve"> &amp; </w:t>
      </w:r>
      <w:proofErr w:type="spellStart"/>
      <w:r>
        <w:rPr>
          <w:lang w:val="en-US"/>
        </w:rPr>
        <w:t>Denk</w:t>
      </w:r>
      <w:proofErr w:type="spellEnd"/>
      <w:r w:rsidRPr="00BF0161">
        <w:rPr>
          <w:lang w:val="el-GR"/>
        </w:rPr>
        <w:t>, 2007). Σε κάποιους ασθενείς προτιμάται η τοποθέτηση γαστρικού σωλήνα για τη σίτισή τους, όμως είναι ένα θέμα αρκετά αμφιλεγόμενο (</w:t>
      </w:r>
      <w:proofErr w:type="spellStart"/>
      <w:r>
        <w:rPr>
          <w:lang w:val="en-US"/>
        </w:rPr>
        <w:t>Groher</w:t>
      </w:r>
      <w:proofErr w:type="spellEnd"/>
      <w:r w:rsidRPr="00BF0161">
        <w:rPr>
          <w:lang w:val="el-GR"/>
        </w:rPr>
        <w:t xml:space="preserve">, 1997). </w:t>
      </w:r>
    </w:p>
    <w:p w14:paraId="595C6969" w14:textId="77777777" w:rsidR="002348A1" w:rsidRPr="00BF0161" w:rsidRDefault="002348A1">
      <w:pPr>
        <w:spacing w:after="120" w:line="360" w:lineRule="auto"/>
        <w:jc w:val="both"/>
        <w:rPr>
          <w:b/>
          <w:lang w:val="el-GR"/>
        </w:rPr>
      </w:pPr>
    </w:p>
    <w:p w14:paraId="4944B597" w14:textId="77777777" w:rsidR="00146CE2" w:rsidRPr="00BF0161" w:rsidRDefault="00DB0AA3">
      <w:pPr>
        <w:spacing w:after="120" w:line="360" w:lineRule="auto"/>
        <w:jc w:val="both"/>
        <w:rPr>
          <w:lang w:val="el-GR"/>
        </w:rPr>
      </w:pPr>
      <w:proofErr w:type="spellStart"/>
      <w:r w:rsidRPr="00BF0161">
        <w:rPr>
          <w:b/>
          <w:lang w:val="el-GR"/>
        </w:rPr>
        <w:t>Κρανιοεγκεφαλικές</w:t>
      </w:r>
      <w:proofErr w:type="spellEnd"/>
      <w:r w:rsidRPr="00BF0161">
        <w:rPr>
          <w:b/>
          <w:lang w:val="el-GR"/>
        </w:rPr>
        <w:t xml:space="preserve"> κακώσεις: </w:t>
      </w:r>
      <w:r w:rsidRPr="00BF0161">
        <w:rPr>
          <w:lang w:val="el-GR"/>
        </w:rPr>
        <w:t xml:space="preserve">Οι </w:t>
      </w:r>
      <w:proofErr w:type="spellStart"/>
      <w:r w:rsidRPr="00BF0161">
        <w:rPr>
          <w:lang w:val="el-GR"/>
        </w:rPr>
        <w:t>κρανιοεγκεφαλικές</w:t>
      </w:r>
      <w:proofErr w:type="spellEnd"/>
      <w:r w:rsidRPr="00BF0161">
        <w:rPr>
          <w:lang w:val="el-GR"/>
        </w:rPr>
        <w:t xml:space="preserve"> κακώσεις (ΚΕΚ) είναι τραύματα σε μία συγκεκριμένη ή πολλές διαφορετικές περιοχές του εγκεφάλου (</w:t>
      </w:r>
      <w:r>
        <w:rPr>
          <w:lang w:val="en-US"/>
        </w:rPr>
        <w:t>Corbin</w:t>
      </w:r>
      <w:r w:rsidRPr="00BF0161">
        <w:rPr>
          <w:lang w:val="el-GR"/>
        </w:rPr>
        <w:t xml:space="preserve">- </w:t>
      </w:r>
      <w:r>
        <w:rPr>
          <w:lang w:val="en-US"/>
        </w:rPr>
        <w:t>Lewis</w:t>
      </w:r>
      <w:r w:rsidRPr="00BF0161">
        <w:rPr>
          <w:lang w:val="el-GR"/>
        </w:rPr>
        <w:t xml:space="preserve">, </w:t>
      </w:r>
      <w:proofErr w:type="spellStart"/>
      <w:r>
        <w:rPr>
          <w:lang w:val="en-US"/>
        </w:rPr>
        <w:t>Liss</w:t>
      </w:r>
      <w:proofErr w:type="spellEnd"/>
      <w:r w:rsidRPr="00BF0161">
        <w:rPr>
          <w:lang w:val="el-GR"/>
        </w:rPr>
        <w:t xml:space="preserve"> &amp; </w:t>
      </w:r>
      <w:proofErr w:type="spellStart"/>
      <w:r>
        <w:rPr>
          <w:lang w:val="en-US"/>
        </w:rPr>
        <w:t>Sciortino</w:t>
      </w:r>
      <w:proofErr w:type="spellEnd"/>
      <w:r w:rsidRPr="00BF0161">
        <w:rPr>
          <w:lang w:val="el-GR"/>
        </w:rPr>
        <w:t>, 2004). Σε ένα ποσοστό της τάξης του 60% των ατόμων με  ΚΕΚ παρουσιάζεται δυσφαγία (</w:t>
      </w:r>
      <w:proofErr w:type="spellStart"/>
      <w:r>
        <w:rPr>
          <w:lang w:val="en-US"/>
        </w:rPr>
        <w:t>Yorkston</w:t>
      </w:r>
      <w:proofErr w:type="spellEnd"/>
      <w:r w:rsidRPr="00BF0161">
        <w:rPr>
          <w:lang w:val="el-GR"/>
        </w:rPr>
        <w:t xml:space="preserve">, </w:t>
      </w:r>
      <w:proofErr w:type="spellStart"/>
      <w:r>
        <w:rPr>
          <w:lang w:val="en-US"/>
        </w:rPr>
        <w:lastRenderedPageBreak/>
        <w:t>Beukelman</w:t>
      </w:r>
      <w:proofErr w:type="spellEnd"/>
      <w:r w:rsidRPr="00BF0161">
        <w:rPr>
          <w:lang w:val="el-GR"/>
        </w:rPr>
        <w:t xml:space="preserve">, </w:t>
      </w:r>
      <w:r>
        <w:rPr>
          <w:lang w:val="en-US"/>
        </w:rPr>
        <w:t>Strand</w:t>
      </w:r>
      <w:r w:rsidRPr="00BF0161">
        <w:rPr>
          <w:lang w:val="el-GR"/>
        </w:rPr>
        <w:t xml:space="preserve"> &amp; </w:t>
      </w:r>
      <w:r>
        <w:rPr>
          <w:lang w:val="en-US"/>
        </w:rPr>
        <w:t>Bell</w:t>
      </w:r>
      <w:r w:rsidRPr="00BF0161">
        <w:rPr>
          <w:lang w:val="el-GR"/>
        </w:rPr>
        <w:t xml:space="preserve">, 2006). Οι βλάβες που ευθύνονται για την εκδήλωση δυσφαγίας είναι οι τοπικές αιμορραγίες, θλάσεις, διατομές, διάχυτες νευρωτικές </w:t>
      </w:r>
      <w:proofErr w:type="spellStart"/>
      <w:r w:rsidRPr="00BF0161">
        <w:rPr>
          <w:lang w:val="el-GR"/>
        </w:rPr>
        <w:t>ιστικές</w:t>
      </w:r>
      <w:proofErr w:type="spellEnd"/>
      <w:r w:rsidRPr="00BF0161">
        <w:rPr>
          <w:lang w:val="el-GR"/>
        </w:rPr>
        <w:t xml:space="preserve"> βλάβες, δευτεροπαθή </w:t>
      </w:r>
      <w:proofErr w:type="spellStart"/>
      <w:r w:rsidRPr="00BF0161">
        <w:rPr>
          <w:lang w:val="el-GR"/>
        </w:rPr>
        <w:t>έμφρακτα</w:t>
      </w:r>
      <w:proofErr w:type="spellEnd"/>
      <w:r w:rsidRPr="00BF0161">
        <w:rPr>
          <w:lang w:val="el-GR"/>
        </w:rPr>
        <w:t>, κυρίως όμως, από δευτεροπαθείς βλάβες του εγκεφαλικού στελέχους λόγω αυξημένης εγκεφαλικής πίεσης. Επιπλέον, και τα γνωστικά ελλείμματα πιθανά επηρεάζουν αρνητικά την πρόσληψη τροφής. Αν και απρόοπτη η πρόκληση των ΚΕΚ, υπάρχουν περιθώρια βελτίωσης, όμως είναι απαραίτητη η συνεχής αξιολόγηση του ασθενούς (</w:t>
      </w:r>
      <w:r>
        <w:rPr>
          <w:lang w:val="en-US"/>
        </w:rPr>
        <w:t>Murry</w:t>
      </w:r>
      <w:r w:rsidRPr="00BF0161">
        <w:rPr>
          <w:lang w:val="el-GR"/>
        </w:rPr>
        <w:t xml:space="preserve"> &amp; </w:t>
      </w:r>
      <w:proofErr w:type="spellStart"/>
      <w:r>
        <w:rPr>
          <w:lang w:val="en-US"/>
        </w:rPr>
        <w:t>Carrau</w:t>
      </w:r>
      <w:proofErr w:type="spellEnd"/>
      <w:r w:rsidRPr="00BF0161">
        <w:rPr>
          <w:lang w:val="el-GR"/>
        </w:rPr>
        <w:t>, 2014).</w:t>
      </w:r>
    </w:p>
    <w:p w14:paraId="6BF73087" w14:textId="77777777" w:rsidR="002348A1" w:rsidRPr="00BF0161" w:rsidRDefault="002348A1">
      <w:pPr>
        <w:spacing w:after="120" w:line="360" w:lineRule="auto"/>
        <w:jc w:val="both"/>
        <w:rPr>
          <w:b/>
          <w:lang w:val="el-GR"/>
        </w:rPr>
      </w:pPr>
    </w:p>
    <w:p w14:paraId="050DA09C" w14:textId="77777777" w:rsidR="00146CE2" w:rsidRPr="00BF0161" w:rsidRDefault="00DB0AA3">
      <w:pPr>
        <w:spacing w:after="120" w:line="360" w:lineRule="auto"/>
        <w:jc w:val="both"/>
        <w:rPr>
          <w:lang w:val="el-GR"/>
        </w:rPr>
      </w:pPr>
      <w:r w:rsidRPr="00BF0161">
        <w:rPr>
          <w:b/>
          <w:lang w:val="el-GR"/>
        </w:rPr>
        <w:t xml:space="preserve">Σκλήρυνση κατά πλάκας: </w:t>
      </w:r>
      <w:r w:rsidRPr="00BF0161">
        <w:rPr>
          <w:lang w:val="el-GR"/>
        </w:rPr>
        <w:t xml:space="preserve">Η σκλήρυνση κατά πλάκας ή αλλιώς διάσπαρτη εγκεφαλίτιδα  σύμφωνα με τους </w:t>
      </w:r>
      <w:proofErr w:type="spellStart"/>
      <w:r>
        <w:rPr>
          <w:lang w:val="en-US"/>
        </w:rPr>
        <w:t>Bigenzahn</w:t>
      </w:r>
      <w:proofErr w:type="spellEnd"/>
      <w:r w:rsidRPr="00BF0161">
        <w:rPr>
          <w:lang w:val="el-GR"/>
        </w:rPr>
        <w:t xml:space="preserve"> &amp; </w:t>
      </w:r>
      <w:proofErr w:type="spellStart"/>
      <w:r>
        <w:rPr>
          <w:lang w:val="en-US"/>
        </w:rPr>
        <w:t>Denk</w:t>
      </w:r>
      <w:proofErr w:type="spellEnd"/>
      <w:r w:rsidRPr="00BF0161">
        <w:rPr>
          <w:lang w:val="el-GR"/>
        </w:rPr>
        <w:t>, (2007) είναι «</w:t>
      </w:r>
      <w:r w:rsidRPr="00BF0161">
        <w:rPr>
          <w:i/>
          <w:lang w:val="el-GR"/>
        </w:rPr>
        <w:t xml:space="preserve">μία </w:t>
      </w:r>
      <w:proofErr w:type="spellStart"/>
      <w:r w:rsidRPr="00BF0161">
        <w:rPr>
          <w:i/>
          <w:lang w:val="el-GR"/>
        </w:rPr>
        <w:t>αυτοάνοση</w:t>
      </w:r>
      <w:proofErr w:type="spellEnd"/>
      <w:r w:rsidRPr="00BF0161">
        <w:rPr>
          <w:i/>
          <w:lang w:val="el-GR"/>
        </w:rPr>
        <w:t xml:space="preserve"> φλεγμονώδης πάθηση του κεντρικού νευρικού συστήματος, συμβαδίζει με εστιακή </w:t>
      </w:r>
      <w:proofErr w:type="spellStart"/>
      <w:r w:rsidRPr="00BF0161">
        <w:rPr>
          <w:i/>
          <w:lang w:val="el-GR"/>
        </w:rPr>
        <w:t>απομυελινοποίηση</w:t>
      </w:r>
      <w:proofErr w:type="spellEnd"/>
      <w:r w:rsidRPr="00BF0161">
        <w:rPr>
          <w:i/>
          <w:lang w:val="el-GR"/>
        </w:rPr>
        <w:t xml:space="preserve"> των νευρικών ινών».</w:t>
      </w:r>
      <w:r w:rsidRPr="00BF0161">
        <w:rPr>
          <w:lang w:val="el-GR"/>
        </w:rPr>
        <w:t xml:space="preserve"> Η ακριβής αιτία της νόσου δεν είναι γνωστή, αλλά πολλά αποτελέσματα ερευνών υποδεικνύουν έναν συγκερασμό παραγόντων, όπως ανοσολογικοί, γενετικοί, περιβαλλοντικοί </w:t>
      </w:r>
      <w:proofErr w:type="spellStart"/>
      <w:r w:rsidRPr="00BF0161">
        <w:rPr>
          <w:lang w:val="el-GR"/>
        </w:rPr>
        <w:t>κτλπ</w:t>
      </w:r>
      <w:proofErr w:type="spellEnd"/>
      <w:r w:rsidRPr="00BF0161">
        <w:rPr>
          <w:lang w:val="el-GR"/>
        </w:rPr>
        <w:t xml:space="preserve"> (</w:t>
      </w:r>
      <w:r>
        <w:rPr>
          <w:lang w:val="en-US"/>
        </w:rPr>
        <w:t>Corbin</w:t>
      </w:r>
      <w:r w:rsidRPr="00BF0161">
        <w:rPr>
          <w:lang w:val="el-GR"/>
        </w:rPr>
        <w:t xml:space="preserve">- </w:t>
      </w:r>
      <w:r>
        <w:rPr>
          <w:lang w:val="en-US"/>
        </w:rPr>
        <w:t>Lewis</w:t>
      </w:r>
      <w:r w:rsidRPr="00BF0161">
        <w:rPr>
          <w:lang w:val="el-GR"/>
        </w:rPr>
        <w:t xml:space="preserve">, </w:t>
      </w:r>
      <w:proofErr w:type="spellStart"/>
      <w:r>
        <w:rPr>
          <w:lang w:val="en-US"/>
        </w:rPr>
        <w:t>Liss</w:t>
      </w:r>
      <w:proofErr w:type="spellEnd"/>
      <w:r w:rsidRPr="00BF0161">
        <w:rPr>
          <w:lang w:val="el-GR"/>
        </w:rPr>
        <w:t xml:space="preserve"> &amp; </w:t>
      </w:r>
      <w:proofErr w:type="spellStart"/>
      <w:r>
        <w:rPr>
          <w:lang w:val="en-US"/>
        </w:rPr>
        <w:t>Sciortino</w:t>
      </w:r>
      <w:proofErr w:type="spellEnd"/>
      <w:r w:rsidRPr="00BF0161">
        <w:rPr>
          <w:lang w:val="el-GR"/>
        </w:rPr>
        <w:t xml:space="preserve">, 2004). Σε ποσοστό 10-33% των ασθενών εκδηλώνεται δυσφαγία. Με την πάροδο του </w:t>
      </w:r>
      <w:r w:rsidRPr="00BF0161">
        <w:rPr>
          <w:lang w:val="el-GR"/>
        </w:rPr>
        <w:lastRenderedPageBreak/>
        <w:t>χρόνου η βαρύτητα και η σοβαρότητα της διαταραχής κατάποσης επιδεινώνεται, με αποτέλεσμα την τοποθέτηση καθετήρα (</w:t>
      </w:r>
      <w:proofErr w:type="spellStart"/>
      <w:r>
        <w:rPr>
          <w:lang w:val="en-US"/>
        </w:rPr>
        <w:t>Bigenzahn</w:t>
      </w:r>
      <w:proofErr w:type="spellEnd"/>
      <w:r w:rsidRPr="00BF0161">
        <w:rPr>
          <w:lang w:val="el-GR"/>
        </w:rPr>
        <w:t xml:space="preserve"> &amp; </w:t>
      </w:r>
      <w:proofErr w:type="spellStart"/>
      <w:r>
        <w:rPr>
          <w:lang w:val="en-US"/>
        </w:rPr>
        <w:t>Denk</w:t>
      </w:r>
      <w:proofErr w:type="spellEnd"/>
      <w:r w:rsidRPr="00BF0161">
        <w:rPr>
          <w:lang w:val="el-GR"/>
        </w:rPr>
        <w:t>, 2007). Επιπλέον, η αίσθηση της γεύσης έχει παρατηρηθεί ότι επηρεάζεται (</w:t>
      </w:r>
      <w:r>
        <w:rPr>
          <w:lang w:val="en-US"/>
        </w:rPr>
        <w:t>Corbin</w:t>
      </w:r>
      <w:r w:rsidRPr="00BF0161">
        <w:rPr>
          <w:lang w:val="el-GR"/>
        </w:rPr>
        <w:t xml:space="preserve">- </w:t>
      </w:r>
      <w:r>
        <w:rPr>
          <w:lang w:val="en-US"/>
        </w:rPr>
        <w:t>Lewis</w:t>
      </w:r>
      <w:r w:rsidRPr="00BF0161">
        <w:rPr>
          <w:lang w:val="el-GR"/>
        </w:rPr>
        <w:t xml:space="preserve">, </w:t>
      </w:r>
      <w:proofErr w:type="spellStart"/>
      <w:r>
        <w:rPr>
          <w:lang w:val="en-US"/>
        </w:rPr>
        <w:t>Liss</w:t>
      </w:r>
      <w:proofErr w:type="spellEnd"/>
      <w:r w:rsidRPr="00BF0161">
        <w:rPr>
          <w:lang w:val="el-GR"/>
        </w:rPr>
        <w:t xml:space="preserve"> &amp; </w:t>
      </w:r>
      <w:proofErr w:type="spellStart"/>
      <w:r>
        <w:rPr>
          <w:lang w:val="en-US"/>
        </w:rPr>
        <w:t>Sciortino</w:t>
      </w:r>
      <w:proofErr w:type="spellEnd"/>
      <w:r w:rsidRPr="00BF0161">
        <w:rPr>
          <w:lang w:val="el-GR"/>
        </w:rPr>
        <w:t xml:space="preserve">, 2004).  </w:t>
      </w:r>
    </w:p>
    <w:p w14:paraId="76D733FF" w14:textId="77777777" w:rsidR="002348A1" w:rsidRPr="00BF0161" w:rsidRDefault="002348A1">
      <w:pPr>
        <w:spacing w:after="120" w:line="360" w:lineRule="auto"/>
        <w:jc w:val="both"/>
        <w:rPr>
          <w:b/>
          <w:lang w:val="el-GR"/>
        </w:rPr>
      </w:pPr>
    </w:p>
    <w:p w14:paraId="38F2A7BC" w14:textId="77777777" w:rsidR="00146CE2" w:rsidRPr="00BF0161" w:rsidRDefault="00DB0AA3">
      <w:pPr>
        <w:spacing w:after="120" w:line="360" w:lineRule="auto"/>
        <w:jc w:val="both"/>
        <w:rPr>
          <w:lang w:val="el-GR"/>
        </w:rPr>
      </w:pPr>
      <w:r w:rsidRPr="00BF0161">
        <w:rPr>
          <w:b/>
          <w:lang w:val="el-GR"/>
        </w:rPr>
        <w:t xml:space="preserve">Εγκεφαλική παράλυση: </w:t>
      </w:r>
      <w:r w:rsidRPr="00BF0161">
        <w:rPr>
          <w:lang w:val="el-GR"/>
        </w:rPr>
        <w:t xml:space="preserve">Η εγκεφαλική παράλυση είναι ένα σύνδρομο που οφείλεται σε βλάβη του αναπτυσσόμενου εγκεφάλου κατά τα πρώτα χρόνια ζωής. Προκαλούνται χρόνια νευρολογικά προβλήματα, από τα οποία προκύπτει δυσφαγία στο </w:t>
      </w:r>
      <w:proofErr w:type="spellStart"/>
      <w:r w:rsidRPr="00BF0161">
        <w:rPr>
          <w:lang w:val="el-GR"/>
        </w:rPr>
        <w:t>στοματοφαρυγγικό</w:t>
      </w:r>
      <w:proofErr w:type="spellEnd"/>
      <w:r w:rsidRPr="00BF0161">
        <w:rPr>
          <w:lang w:val="el-GR"/>
        </w:rPr>
        <w:t xml:space="preserve"> στάδιο. Επιπλέον, ελλείμματα που πι</w:t>
      </w:r>
      <w:r w:rsidR="002C4F88" w:rsidRPr="00BF0161">
        <w:rPr>
          <w:lang w:val="el-GR"/>
        </w:rPr>
        <w:t>θανό</w:t>
      </w:r>
      <w:r w:rsidRPr="00BF0161">
        <w:rPr>
          <w:lang w:val="el-GR"/>
        </w:rPr>
        <w:t>ν να συνυπάρχουν είναι η διαταραγμένη κινητικότητα της γλώσσας και η αστάθεια της κάτω σιαγόνας (</w:t>
      </w:r>
      <w:proofErr w:type="spellStart"/>
      <w:r>
        <w:rPr>
          <w:lang w:val="en-US"/>
        </w:rPr>
        <w:t>Groher</w:t>
      </w:r>
      <w:proofErr w:type="spellEnd"/>
      <w:r w:rsidRPr="00BF0161">
        <w:rPr>
          <w:lang w:val="el-GR"/>
        </w:rPr>
        <w:t>, 1997).</w:t>
      </w:r>
    </w:p>
    <w:p w14:paraId="5019B8EE" w14:textId="77777777" w:rsidR="002348A1" w:rsidRPr="00BF0161" w:rsidRDefault="002348A1">
      <w:pPr>
        <w:spacing w:after="120" w:line="360" w:lineRule="auto"/>
        <w:jc w:val="both"/>
        <w:rPr>
          <w:b/>
          <w:lang w:val="el-GR"/>
        </w:rPr>
      </w:pPr>
    </w:p>
    <w:p w14:paraId="05D84FF1" w14:textId="77777777" w:rsidR="002348A1" w:rsidRDefault="00DB0AA3">
      <w:pPr>
        <w:spacing w:after="120" w:line="360" w:lineRule="auto"/>
        <w:jc w:val="both"/>
        <w:rPr>
          <w:b/>
          <w:lang w:val="el-GR"/>
        </w:rPr>
      </w:pPr>
      <w:r w:rsidRPr="00BF0161">
        <w:rPr>
          <w:b/>
          <w:lang w:val="el-GR"/>
        </w:rPr>
        <w:t xml:space="preserve">Μυασθένεια </w:t>
      </w:r>
      <w:r>
        <w:rPr>
          <w:b/>
          <w:lang w:val="en-US"/>
        </w:rPr>
        <w:t>Gravis</w:t>
      </w:r>
      <w:r w:rsidRPr="00BF0161">
        <w:rPr>
          <w:b/>
          <w:lang w:val="el-GR"/>
        </w:rPr>
        <w:t>:</w:t>
      </w:r>
      <w:r w:rsidRPr="00BF0161">
        <w:rPr>
          <w:lang w:val="el-GR"/>
        </w:rPr>
        <w:t xml:space="preserve"> Η μυασθένεια </w:t>
      </w:r>
      <w:r>
        <w:rPr>
          <w:lang w:val="en-US"/>
        </w:rPr>
        <w:t>Gravis</w:t>
      </w:r>
      <w:r w:rsidRPr="00BF0161">
        <w:rPr>
          <w:lang w:val="el-GR"/>
        </w:rPr>
        <w:t xml:space="preserve"> είναι μία πάθηση που επηρεάζει το πώς μεταφέρονται τα μηνύματα στους μύ</w:t>
      </w:r>
      <w:r w:rsidR="00847F2F" w:rsidRPr="00BF0161">
        <w:rPr>
          <w:lang w:val="el-GR"/>
        </w:rPr>
        <w:t>ε</w:t>
      </w:r>
      <w:r w:rsidRPr="00BF0161">
        <w:rPr>
          <w:lang w:val="el-GR"/>
        </w:rPr>
        <w:t xml:space="preserve">ς από τη </w:t>
      </w:r>
      <w:proofErr w:type="spellStart"/>
      <w:r w:rsidRPr="00BF0161">
        <w:rPr>
          <w:lang w:val="el-GR"/>
        </w:rPr>
        <w:t>νευρομυϊκή</w:t>
      </w:r>
      <w:proofErr w:type="spellEnd"/>
      <w:r w:rsidRPr="00BF0161">
        <w:rPr>
          <w:lang w:val="el-GR"/>
        </w:rPr>
        <w:t xml:space="preserve"> σύνδεση. Είναι </w:t>
      </w:r>
      <w:proofErr w:type="spellStart"/>
      <w:r w:rsidRPr="00BF0161">
        <w:rPr>
          <w:lang w:val="el-GR"/>
        </w:rPr>
        <w:t>αυτοάνοση</w:t>
      </w:r>
      <w:proofErr w:type="spellEnd"/>
      <w:r w:rsidRPr="00BF0161">
        <w:rPr>
          <w:lang w:val="el-GR"/>
        </w:rPr>
        <w:t xml:space="preserve"> ασθένεια κατά την οποία το ίδιο το σώμα επιτίθεται στη δομή των μυών. Οι ασθενείς που πάσχουν από μυασθένεια </w:t>
      </w:r>
      <w:r>
        <w:rPr>
          <w:lang w:val="en-US"/>
        </w:rPr>
        <w:t>Gravis</w:t>
      </w:r>
      <w:r w:rsidRPr="00BF0161">
        <w:rPr>
          <w:lang w:val="el-GR"/>
        </w:rPr>
        <w:t xml:space="preserve"> ανά πάσα στιγμή μπορεί να χάσουν την ικανότητα κατάποσης ή αναπνοής , γεγονός που θέτει την ζωή τους σε κίνδυνο (</w:t>
      </w:r>
      <w:r>
        <w:rPr>
          <w:lang w:val="en-US"/>
        </w:rPr>
        <w:t>Corbin</w:t>
      </w:r>
      <w:r w:rsidRPr="00BF0161">
        <w:rPr>
          <w:lang w:val="el-GR"/>
        </w:rPr>
        <w:t xml:space="preserve">- </w:t>
      </w:r>
      <w:r>
        <w:rPr>
          <w:lang w:val="en-US"/>
        </w:rPr>
        <w:t>Lewis</w:t>
      </w:r>
      <w:r w:rsidRPr="00BF0161">
        <w:rPr>
          <w:lang w:val="el-GR"/>
        </w:rPr>
        <w:t xml:space="preserve">, </w:t>
      </w:r>
      <w:proofErr w:type="spellStart"/>
      <w:r>
        <w:rPr>
          <w:lang w:val="en-US"/>
        </w:rPr>
        <w:t>Liss</w:t>
      </w:r>
      <w:proofErr w:type="spellEnd"/>
      <w:r w:rsidRPr="00BF0161">
        <w:rPr>
          <w:lang w:val="el-GR"/>
        </w:rPr>
        <w:t xml:space="preserve"> &amp; </w:t>
      </w:r>
      <w:proofErr w:type="spellStart"/>
      <w:r>
        <w:rPr>
          <w:lang w:val="en-US"/>
        </w:rPr>
        <w:t>Sciortino</w:t>
      </w:r>
      <w:proofErr w:type="spellEnd"/>
      <w:r w:rsidRPr="00BF0161">
        <w:rPr>
          <w:lang w:val="el-GR"/>
        </w:rPr>
        <w:t xml:space="preserve">, </w:t>
      </w:r>
      <w:r w:rsidRPr="00BF0161">
        <w:rPr>
          <w:lang w:val="el-GR"/>
        </w:rPr>
        <w:lastRenderedPageBreak/>
        <w:t xml:space="preserve">2004). Η πάθηση εμφανίζεται κατά την ενήλικη ζωή. Περίπου το ένα τρίτο των ατόμων με μυασθένεια </w:t>
      </w:r>
      <w:r>
        <w:rPr>
          <w:lang w:val="en-US"/>
        </w:rPr>
        <w:t>Gravis</w:t>
      </w:r>
      <w:r w:rsidRPr="00BF0161">
        <w:rPr>
          <w:lang w:val="el-GR"/>
        </w:rPr>
        <w:t xml:space="preserve"> παρουσιάζουν διαταραχές κατάποσης. Η αδυναμία του μασητήρα μυός καθιστά την κατάποση υγρών ευκολότερη εν συγκρίσει με τις στερεές τροφές. Ένας ασθενής βιώνει αίσθημα κόπωσης προς το τέλος του γεύματός του (</w:t>
      </w:r>
      <w:r>
        <w:rPr>
          <w:lang w:val="en-US"/>
        </w:rPr>
        <w:t>Murry</w:t>
      </w:r>
      <w:r w:rsidRPr="00BF0161">
        <w:rPr>
          <w:lang w:val="el-GR"/>
        </w:rPr>
        <w:t xml:space="preserve"> &amp; </w:t>
      </w:r>
      <w:proofErr w:type="spellStart"/>
      <w:r>
        <w:rPr>
          <w:lang w:val="en-US"/>
        </w:rPr>
        <w:t>Carrau</w:t>
      </w:r>
      <w:proofErr w:type="spellEnd"/>
      <w:r w:rsidRPr="00BF0161">
        <w:rPr>
          <w:lang w:val="el-GR"/>
        </w:rPr>
        <w:t>, 2014), όπως και τη νύχτα, ιδιαίτερα αν έχει καταπονηθεί (</w:t>
      </w:r>
      <w:proofErr w:type="spellStart"/>
      <w:r>
        <w:rPr>
          <w:lang w:val="en-US"/>
        </w:rPr>
        <w:t>Bigenzahn</w:t>
      </w:r>
      <w:proofErr w:type="spellEnd"/>
      <w:r w:rsidRPr="00BF0161">
        <w:rPr>
          <w:lang w:val="el-GR"/>
        </w:rPr>
        <w:t xml:space="preserve"> &amp; </w:t>
      </w:r>
      <w:proofErr w:type="spellStart"/>
      <w:r>
        <w:rPr>
          <w:lang w:val="en-US"/>
        </w:rPr>
        <w:t>Denk</w:t>
      </w:r>
      <w:proofErr w:type="spellEnd"/>
      <w:r w:rsidRPr="00BF0161">
        <w:rPr>
          <w:lang w:val="el-GR"/>
        </w:rPr>
        <w:t>, 2007). Σε ορισμένα άτομα η επιδείνωση της ασθένειας μπορεί να οδηγήσει σε πλήρη απώλεια των ικανοτήτων μάσησης και κατάποσ</w:t>
      </w:r>
      <w:r w:rsidR="00847F2F" w:rsidRPr="00BF0161">
        <w:rPr>
          <w:lang w:val="el-GR"/>
        </w:rPr>
        <w:t>ης, με αποτέλεσμα την εισρόφηση.</w:t>
      </w:r>
    </w:p>
    <w:p w14:paraId="567F7CFB" w14:textId="77777777" w:rsidR="00642B1A" w:rsidRPr="00BF0161" w:rsidRDefault="00642B1A">
      <w:pPr>
        <w:spacing w:after="120" w:line="360" w:lineRule="auto"/>
        <w:jc w:val="both"/>
        <w:rPr>
          <w:b/>
          <w:lang w:val="el-GR"/>
        </w:rPr>
      </w:pPr>
    </w:p>
    <w:p w14:paraId="73EA9E5E" w14:textId="58ADAB58" w:rsidR="00146CE2" w:rsidRDefault="00DB0AA3">
      <w:pPr>
        <w:spacing w:after="120" w:line="360" w:lineRule="auto"/>
        <w:jc w:val="both"/>
        <w:rPr>
          <w:lang w:val="el-GR"/>
        </w:rPr>
      </w:pPr>
      <w:r w:rsidRPr="00BF0161">
        <w:rPr>
          <w:b/>
          <w:lang w:val="el-GR"/>
        </w:rPr>
        <w:t xml:space="preserve">Παρενέργειες φαρμάκων: </w:t>
      </w:r>
      <w:r w:rsidRPr="00BF0161">
        <w:rPr>
          <w:lang w:val="el-GR"/>
        </w:rPr>
        <w:t xml:space="preserve">Η κατανάλωση μερικών φαρμάκων μπορεί να προκαλέσει διαταραχές κατάποσης, επιδρώντας στο επίπεδο συνείδησης, τον συντονισμό, τις αισθητικοκινητικές λειτουργίες και τη λίπανση της ανώτερης αναπνευστικής και πεπτικής οδού. </w:t>
      </w:r>
      <w:r w:rsidRPr="00642B1A">
        <w:rPr>
          <w:lang w:val="el-GR"/>
        </w:rPr>
        <w:t>Τέτοια φάρμακα μπορεί να είναι :</w:t>
      </w:r>
    </w:p>
    <w:p w14:paraId="045C6891" w14:textId="77777777" w:rsidR="00347D21" w:rsidRPr="00642B1A" w:rsidRDefault="00347D21">
      <w:pPr>
        <w:spacing w:after="120" w:line="360" w:lineRule="auto"/>
        <w:jc w:val="both"/>
        <w:rPr>
          <w:lang w:val="el-GR"/>
        </w:rPr>
      </w:pPr>
    </w:p>
    <w:p w14:paraId="0ACA7FA7" w14:textId="77777777" w:rsidR="00146CE2" w:rsidRPr="00642B1A" w:rsidRDefault="00146CE2">
      <w:pPr>
        <w:spacing w:after="120" w:line="360" w:lineRule="auto"/>
        <w:jc w:val="both"/>
        <w:rPr>
          <w:lang w:val="el-GR"/>
        </w:rPr>
      </w:pPr>
    </w:p>
    <w:tbl>
      <w:tblPr>
        <w:tblW w:w="8475" w:type="dxa"/>
        <w:tblInd w:w="10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firstRow="1" w:lastRow="0" w:firstColumn="1" w:lastColumn="0" w:noHBand="0" w:noVBand="1"/>
      </w:tblPr>
      <w:tblGrid>
        <w:gridCol w:w="2269"/>
        <w:gridCol w:w="2161"/>
        <w:gridCol w:w="1843"/>
        <w:gridCol w:w="2202"/>
      </w:tblGrid>
      <w:tr w:rsidR="00F446F6" w14:paraId="65838393" w14:textId="77777777" w:rsidTr="00F446F6">
        <w:trPr>
          <w:trHeight w:val="856"/>
        </w:trPr>
        <w:tc>
          <w:tcPr>
            <w:tcW w:w="2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58FD4C1" w14:textId="77777777" w:rsidR="00F446F6" w:rsidRDefault="00F446F6">
            <w:pPr>
              <w:spacing w:line="360" w:lineRule="auto"/>
              <w:jc w:val="both"/>
            </w:pPr>
            <w:proofErr w:type="spellStart"/>
            <w:r>
              <w:lastRenderedPageBreak/>
              <w:t>Αντιε</w:t>
            </w:r>
            <w:proofErr w:type="spellEnd"/>
            <w:r>
              <w:t>πιλιπτικά</w:t>
            </w:r>
          </w:p>
        </w:tc>
        <w:tc>
          <w:tcPr>
            <w:tcW w:w="216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9E1B499" w14:textId="77777777" w:rsidR="00F446F6" w:rsidRDefault="00F446F6">
            <w:pPr>
              <w:spacing w:line="360" w:lineRule="auto"/>
              <w:jc w:val="both"/>
            </w:pPr>
            <w:proofErr w:type="spellStart"/>
            <w:r>
              <w:t>Αντιμουσκ</w:t>
            </w:r>
            <w:proofErr w:type="spellEnd"/>
            <w:r>
              <w:t>αρινικά</w:t>
            </w: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2DA2C2B" w14:textId="77777777" w:rsidR="00F446F6" w:rsidRDefault="00F446F6">
            <w:pPr>
              <w:spacing w:line="360" w:lineRule="auto"/>
              <w:jc w:val="both"/>
            </w:pPr>
            <w:proofErr w:type="spellStart"/>
            <w:r>
              <w:t>Βιτ</w:t>
            </w:r>
            <w:proofErr w:type="spellEnd"/>
            <w:r>
              <w:t>αμίνες</w:t>
            </w:r>
          </w:p>
        </w:tc>
        <w:tc>
          <w:tcPr>
            <w:tcW w:w="220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6DD5E9D" w14:textId="77777777" w:rsidR="00F446F6" w:rsidRDefault="00F446F6">
            <w:pPr>
              <w:spacing w:line="360" w:lineRule="auto"/>
              <w:jc w:val="both"/>
            </w:pPr>
            <w:proofErr w:type="spellStart"/>
            <w:r>
              <w:t>Αντιυ</w:t>
            </w:r>
            <w:proofErr w:type="spellEnd"/>
            <w:r>
              <w:t>περτασικά</w:t>
            </w:r>
          </w:p>
        </w:tc>
      </w:tr>
      <w:tr w:rsidR="00F446F6" w14:paraId="0B920EA6" w14:textId="77777777" w:rsidTr="00F446F6">
        <w:tc>
          <w:tcPr>
            <w:tcW w:w="2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15B96BE" w14:textId="77777777" w:rsidR="00F446F6" w:rsidRDefault="00F446F6">
            <w:pPr>
              <w:spacing w:line="360" w:lineRule="auto"/>
              <w:jc w:val="both"/>
            </w:pPr>
            <w:proofErr w:type="spellStart"/>
            <w:r>
              <w:t>Αντι</w:t>
            </w:r>
            <w:proofErr w:type="spellEnd"/>
            <w:r>
              <w:t>βιοτικά</w:t>
            </w:r>
          </w:p>
        </w:tc>
        <w:tc>
          <w:tcPr>
            <w:tcW w:w="216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1B29F90" w14:textId="77777777" w:rsidR="00F446F6" w:rsidRDefault="00F446F6">
            <w:pPr>
              <w:spacing w:line="360" w:lineRule="auto"/>
              <w:jc w:val="both"/>
            </w:pPr>
            <w:proofErr w:type="spellStart"/>
            <w:r>
              <w:t>Αντιχολινεργικά</w:t>
            </w:r>
            <w:proofErr w:type="spellEnd"/>
          </w:p>
        </w:tc>
        <w:tc>
          <w:tcPr>
            <w:tcW w:w="184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CA0150E" w14:textId="77777777" w:rsidR="00F446F6" w:rsidRDefault="00F446F6">
            <w:pPr>
              <w:spacing w:line="360" w:lineRule="auto"/>
              <w:jc w:val="both"/>
            </w:pPr>
            <w:proofErr w:type="spellStart"/>
            <w:r>
              <w:t>Αν</w:t>
            </w:r>
            <w:proofErr w:type="spellEnd"/>
            <w:r>
              <w:t>αλγητικά</w:t>
            </w:r>
          </w:p>
        </w:tc>
        <w:tc>
          <w:tcPr>
            <w:tcW w:w="220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45492D7" w14:textId="77777777" w:rsidR="00F446F6" w:rsidRDefault="00F446F6">
            <w:pPr>
              <w:spacing w:line="360" w:lineRule="auto"/>
              <w:jc w:val="both"/>
            </w:pPr>
            <w:proofErr w:type="spellStart"/>
            <w:r>
              <w:t>Αντινεο</w:t>
            </w:r>
            <w:proofErr w:type="spellEnd"/>
            <w:r>
              <w:t>πλασματικοί πα</w:t>
            </w:r>
            <w:proofErr w:type="spellStart"/>
            <w:r>
              <w:t>ράγοντες</w:t>
            </w:r>
            <w:proofErr w:type="spellEnd"/>
            <w:r>
              <w:t>,</w:t>
            </w:r>
          </w:p>
        </w:tc>
      </w:tr>
      <w:tr w:rsidR="00F446F6" w:rsidRPr="005F6E2A" w14:paraId="54DD5D18" w14:textId="77777777" w:rsidTr="00F446F6">
        <w:tc>
          <w:tcPr>
            <w:tcW w:w="2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D48AB8A" w14:textId="77777777" w:rsidR="00F446F6" w:rsidRDefault="00F446F6">
            <w:pPr>
              <w:spacing w:line="360" w:lineRule="auto"/>
              <w:jc w:val="both"/>
            </w:pPr>
            <w:proofErr w:type="spellStart"/>
            <w:r>
              <w:t>Φάρμ</w:t>
            </w:r>
            <w:proofErr w:type="spellEnd"/>
            <w:r>
              <w:t xml:space="preserve">ακα </w:t>
            </w:r>
            <w:proofErr w:type="spellStart"/>
            <w:r>
              <w:t>χωρίς</w:t>
            </w:r>
            <w:proofErr w:type="spellEnd"/>
            <w:r>
              <w:t xml:space="preserve"> ια</w:t>
            </w:r>
            <w:proofErr w:type="spellStart"/>
            <w:r>
              <w:t>τρική</w:t>
            </w:r>
            <w:proofErr w:type="spellEnd"/>
            <w:r>
              <w:t xml:space="preserve"> </w:t>
            </w:r>
            <w:proofErr w:type="spellStart"/>
            <w:r>
              <w:t>συντ</w:t>
            </w:r>
            <w:proofErr w:type="spellEnd"/>
            <w:r>
              <w:t>αγή</w:t>
            </w:r>
          </w:p>
        </w:tc>
        <w:tc>
          <w:tcPr>
            <w:tcW w:w="216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7E9BC49" w14:textId="77777777" w:rsidR="00F446F6" w:rsidRDefault="00F446F6">
            <w:pPr>
              <w:spacing w:line="360" w:lineRule="auto"/>
              <w:jc w:val="both"/>
            </w:pPr>
            <w:proofErr w:type="spellStart"/>
            <w:r>
              <w:t>Αντισ</w:t>
            </w:r>
            <w:proofErr w:type="spellEnd"/>
            <w:r>
              <w:t>πασμωδικά</w:t>
            </w: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CE93B60" w14:textId="77777777" w:rsidR="00F446F6" w:rsidRDefault="00F446F6">
            <w:pPr>
              <w:spacing w:line="360" w:lineRule="auto"/>
              <w:jc w:val="both"/>
            </w:pPr>
            <w:proofErr w:type="spellStart"/>
            <w:r>
              <w:t>Βλεννολυτικοί</w:t>
            </w:r>
            <w:proofErr w:type="spellEnd"/>
            <w:r>
              <w:t xml:space="preserve"> πα</w:t>
            </w:r>
            <w:proofErr w:type="spellStart"/>
            <w:r>
              <w:t>ράγοντες</w:t>
            </w:r>
            <w:proofErr w:type="spellEnd"/>
          </w:p>
        </w:tc>
        <w:tc>
          <w:tcPr>
            <w:tcW w:w="220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A979934" w14:textId="77777777" w:rsidR="00F446F6" w:rsidRDefault="00F446F6">
            <w:pPr>
              <w:spacing w:line="360" w:lineRule="auto"/>
              <w:jc w:val="both"/>
            </w:pPr>
            <w:proofErr w:type="spellStart"/>
            <w:r>
              <w:t>Αντι</w:t>
            </w:r>
            <w:proofErr w:type="spellEnd"/>
            <w:r>
              <w:t>-Πα</w:t>
            </w:r>
            <w:proofErr w:type="spellStart"/>
            <w:r>
              <w:t>ρκινσονικά</w:t>
            </w:r>
            <w:proofErr w:type="spellEnd"/>
            <w:r>
              <w:t xml:space="preserve"> </w:t>
            </w:r>
            <w:proofErr w:type="spellStart"/>
            <w:r>
              <w:t>φάρμ</w:t>
            </w:r>
            <w:proofErr w:type="spellEnd"/>
            <w:r>
              <w:t>ακα</w:t>
            </w:r>
          </w:p>
        </w:tc>
      </w:tr>
      <w:tr w:rsidR="00F446F6" w14:paraId="193516F8" w14:textId="77777777" w:rsidTr="00F446F6">
        <w:tc>
          <w:tcPr>
            <w:tcW w:w="2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B494F90" w14:textId="77777777" w:rsidR="00F446F6" w:rsidRDefault="00F446F6">
            <w:pPr>
              <w:spacing w:line="360" w:lineRule="auto"/>
              <w:jc w:val="both"/>
            </w:pPr>
            <w:proofErr w:type="spellStart"/>
            <w:r>
              <w:t>Αντιστ</w:t>
            </w:r>
            <w:proofErr w:type="spellEnd"/>
            <w:r>
              <w:t>αμινικά</w:t>
            </w:r>
          </w:p>
        </w:tc>
        <w:tc>
          <w:tcPr>
            <w:tcW w:w="216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67E2C17" w14:textId="77777777" w:rsidR="00F446F6" w:rsidRDefault="00F446F6">
            <w:pPr>
              <w:spacing w:line="360" w:lineRule="auto"/>
              <w:jc w:val="both"/>
            </w:pPr>
            <w:proofErr w:type="spellStart"/>
            <w:r>
              <w:t>Αγχολυτικά</w:t>
            </w:r>
            <w:proofErr w:type="spellEnd"/>
          </w:p>
        </w:tc>
        <w:tc>
          <w:tcPr>
            <w:tcW w:w="184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16E53F5" w14:textId="77777777" w:rsidR="00F446F6" w:rsidRDefault="00F446F6">
            <w:pPr>
              <w:spacing w:line="360" w:lineRule="auto"/>
              <w:jc w:val="both"/>
            </w:pPr>
            <w:proofErr w:type="spellStart"/>
            <w:r>
              <w:t>Αντιψυχωτικά</w:t>
            </w:r>
            <w:proofErr w:type="spellEnd"/>
          </w:p>
        </w:tc>
        <w:tc>
          <w:tcPr>
            <w:tcW w:w="220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097C388" w14:textId="77777777" w:rsidR="00F446F6" w:rsidRDefault="00F446F6">
            <w:pPr>
              <w:spacing w:line="360" w:lineRule="auto"/>
              <w:jc w:val="both"/>
            </w:pPr>
          </w:p>
        </w:tc>
      </w:tr>
    </w:tbl>
    <w:p w14:paraId="24BEE46A" w14:textId="77777777" w:rsidR="002348A1" w:rsidRDefault="00DB0AA3">
      <w:pPr>
        <w:spacing w:after="120" w:line="360" w:lineRule="auto"/>
        <w:jc w:val="both"/>
        <w:rPr>
          <w:lang w:val="el-GR"/>
        </w:rPr>
      </w:pPr>
      <w:r w:rsidRPr="00BF0161">
        <w:rPr>
          <w:b/>
          <w:lang w:val="el-GR"/>
        </w:rPr>
        <w:t>Πίνακας 1.2</w:t>
      </w:r>
      <w:r w:rsidRPr="00BF0161">
        <w:rPr>
          <w:lang w:val="el-GR"/>
        </w:rPr>
        <w:t xml:space="preserve">: Φάρμακα που μπορούν να προκαλέσουν δυσφαγία/ </w:t>
      </w:r>
      <w:r>
        <w:rPr>
          <w:lang w:val="en-US"/>
        </w:rPr>
        <w:t>Murry</w:t>
      </w:r>
      <w:r w:rsidRPr="00BF0161">
        <w:rPr>
          <w:lang w:val="el-GR"/>
        </w:rPr>
        <w:t xml:space="preserve"> &amp; </w:t>
      </w:r>
      <w:proofErr w:type="spellStart"/>
      <w:r>
        <w:rPr>
          <w:lang w:val="en-US"/>
        </w:rPr>
        <w:t>Carrau</w:t>
      </w:r>
      <w:proofErr w:type="spellEnd"/>
      <w:r w:rsidRPr="00BF0161">
        <w:rPr>
          <w:lang w:val="el-GR"/>
        </w:rPr>
        <w:t xml:space="preserve"> (2014)</w:t>
      </w:r>
    </w:p>
    <w:p w14:paraId="4A4D7273" w14:textId="77777777" w:rsidR="00642B1A" w:rsidRPr="00BF0161" w:rsidRDefault="00642B1A">
      <w:pPr>
        <w:spacing w:after="120" w:line="360" w:lineRule="auto"/>
        <w:jc w:val="both"/>
        <w:rPr>
          <w:lang w:val="el-GR"/>
        </w:rPr>
      </w:pPr>
    </w:p>
    <w:p w14:paraId="182C8B9C" w14:textId="77777777" w:rsidR="00146CE2" w:rsidRDefault="00DB0AA3">
      <w:pPr>
        <w:spacing w:after="120" w:line="360" w:lineRule="auto"/>
        <w:jc w:val="both"/>
        <w:rPr>
          <w:lang w:val="el-GR"/>
        </w:rPr>
      </w:pPr>
      <w:r w:rsidRPr="00BF0161">
        <w:rPr>
          <w:lang w:val="el-GR"/>
        </w:rPr>
        <w:t>Η παράλληλη χρήση πολλών φαρμάκων, το φύλο, η ηλικία, το μέγεθος του σώματος, το επίπεδο μεταβολισμού και η ατομική βιολογική απόκριση αποτελούν παράγοντες που επηρεάζουν τη δράση των φαρμάκων (</w:t>
      </w:r>
      <w:r>
        <w:rPr>
          <w:lang w:val="en-US"/>
        </w:rPr>
        <w:t>Murry</w:t>
      </w:r>
      <w:r w:rsidRPr="00BF0161">
        <w:rPr>
          <w:lang w:val="el-GR"/>
        </w:rPr>
        <w:t xml:space="preserve"> &amp; </w:t>
      </w:r>
      <w:proofErr w:type="spellStart"/>
      <w:r>
        <w:rPr>
          <w:lang w:val="en-US"/>
        </w:rPr>
        <w:t>Carrau</w:t>
      </w:r>
      <w:proofErr w:type="spellEnd"/>
      <w:r w:rsidRPr="00BF0161">
        <w:rPr>
          <w:lang w:val="el-GR"/>
        </w:rPr>
        <w:t>, 2014).</w:t>
      </w:r>
    </w:p>
    <w:p w14:paraId="7FF48D60" w14:textId="77777777" w:rsidR="00642B1A" w:rsidRDefault="00642B1A">
      <w:pPr>
        <w:spacing w:after="120" w:line="360" w:lineRule="auto"/>
        <w:jc w:val="both"/>
        <w:rPr>
          <w:lang w:val="el-GR"/>
        </w:rPr>
      </w:pPr>
    </w:p>
    <w:p w14:paraId="63E0946F" w14:textId="77777777" w:rsidR="002348A1" w:rsidRDefault="00642B1A">
      <w:pPr>
        <w:spacing w:after="120" w:line="360" w:lineRule="auto"/>
        <w:jc w:val="both"/>
        <w:rPr>
          <w:lang w:val="el-GR"/>
        </w:rPr>
      </w:pPr>
      <w:r w:rsidRPr="00BF0161">
        <w:rPr>
          <w:b/>
          <w:lang w:val="el-GR"/>
        </w:rPr>
        <w:t xml:space="preserve">Χορεία </w:t>
      </w:r>
      <w:r>
        <w:rPr>
          <w:b/>
          <w:lang w:val="en-US"/>
        </w:rPr>
        <w:t>Huntington</w:t>
      </w:r>
      <w:r w:rsidRPr="00BF0161">
        <w:rPr>
          <w:b/>
          <w:lang w:val="el-GR"/>
        </w:rPr>
        <w:t xml:space="preserve">: </w:t>
      </w:r>
      <w:r w:rsidRPr="00BF0161">
        <w:rPr>
          <w:lang w:val="el-GR"/>
        </w:rPr>
        <w:t xml:space="preserve">Χορεία </w:t>
      </w:r>
      <w:r>
        <w:rPr>
          <w:lang w:val="en-US"/>
        </w:rPr>
        <w:t>Huntington</w:t>
      </w:r>
      <w:r w:rsidRPr="00BF0161">
        <w:rPr>
          <w:lang w:val="el-GR"/>
        </w:rPr>
        <w:t xml:space="preserve"> είναι «</w:t>
      </w:r>
      <w:r w:rsidRPr="00BF0161">
        <w:rPr>
          <w:i/>
          <w:lang w:val="el-GR"/>
        </w:rPr>
        <w:t>μία κληρονομική, εκφυλιστική ασθένεια του εγκεφάλου</w:t>
      </w:r>
      <w:r w:rsidRPr="00BF0161">
        <w:rPr>
          <w:lang w:val="el-GR"/>
        </w:rPr>
        <w:t xml:space="preserve">» που εμφανίζεται στην </w:t>
      </w:r>
      <w:proofErr w:type="spellStart"/>
      <w:r w:rsidRPr="00BF0161">
        <w:rPr>
          <w:lang w:val="el-GR"/>
        </w:rPr>
        <w:t>μεσήλικη</w:t>
      </w:r>
      <w:proofErr w:type="spellEnd"/>
      <w:r w:rsidRPr="00BF0161">
        <w:rPr>
          <w:lang w:val="el-GR"/>
        </w:rPr>
        <w:t xml:space="preserve"> ζωή, σύμφωνα με τους </w:t>
      </w:r>
      <w:r>
        <w:rPr>
          <w:lang w:val="en-US"/>
        </w:rPr>
        <w:t>Corbin</w:t>
      </w:r>
      <w:r w:rsidRPr="00BF0161">
        <w:rPr>
          <w:lang w:val="el-GR"/>
        </w:rPr>
        <w:t xml:space="preserve">- </w:t>
      </w:r>
      <w:r>
        <w:rPr>
          <w:lang w:val="en-US"/>
        </w:rPr>
        <w:t>Lewis</w:t>
      </w:r>
      <w:r w:rsidRPr="00BF0161">
        <w:rPr>
          <w:lang w:val="el-GR"/>
        </w:rPr>
        <w:t xml:space="preserve">, </w:t>
      </w:r>
      <w:proofErr w:type="spellStart"/>
      <w:r>
        <w:rPr>
          <w:lang w:val="en-US"/>
        </w:rPr>
        <w:t>Liss</w:t>
      </w:r>
      <w:proofErr w:type="spellEnd"/>
      <w:r w:rsidRPr="00BF0161">
        <w:rPr>
          <w:lang w:val="el-GR"/>
        </w:rPr>
        <w:t xml:space="preserve"> &amp; </w:t>
      </w:r>
      <w:proofErr w:type="spellStart"/>
      <w:r>
        <w:rPr>
          <w:lang w:val="en-US"/>
        </w:rPr>
        <w:t>Sciortino</w:t>
      </w:r>
      <w:proofErr w:type="spellEnd"/>
      <w:r w:rsidRPr="00BF0161">
        <w:rPr>
          <w:lang w:val="el-GR"/>
        </w:rPr>
        <w:t xml:space="preserve"> (2004). Παρατηρούνται γνωστικά ελλείμματα και </w:t>
      </w:r>
      <w:proofErr w:type="spellStart"/>
      <w:r w:rsidRPr="00BF0161">
        <w:rPr>
          <w:lang w:val="el-GR"/>
        </w:rPr>
        <w:t>συμπεριφορικά</w:t>
      </w:r>
      <w:proofErr w:type="spellEnd"/>
      <w:r w:rsidRPr="00BF0161">
        <w:rPr>
          <w:lang w:val="el-GR"/>
        </w:rPr>
        <w:t>, ίσως και άνοια με την πάροδ</w:t>
      </w:r>
      <w:r>
        <w:rPr>
          <w:lang w:val="el-GR"/>
        </w:rPr>
        <w:t xml:space="preserve">ο του χρόνου, όπως και </w:t>
      </w:r>
      <w:proofErr w:type="spellStart"/>
      <w:r>
        <w:rPr>
          <w:lang w:val="el-GR"/>
        </w:rPr>
        <w:t>χορειόδει</w:t>
      </w:r>
      <w:r w:rsidRPr="00BF0161">
        <w:rPr>
          <w:lang w:val="el-GR"/>
        </w:rPr>
        <w:t>ς</w:t>
      </w:r>
      <w:proofErr w:type="spellEnd"/>
      <w:r w:rsidRPr="00BF0161">
        <w:rPr>
          <w:lang w:val="el-GR"/>
        </w:rPr>
        <w:t xml:space="preserve"> κινήσεις. Καθώς η πάθηση εξελίσσεται, </w:t>
      </w:r>
      <w:r w:rsidRPr="00BF0161">
        <w:rPr>
          <w:lang w:val="el-GR"/>
        </w:rPr>
        <w:lastRenderedPageBreak/>
        <w:t xml:space="preserve">συνήθως εκδηλώνονται διαταραχές κατάποσης με υπέρμετρες κινήσεις της γλώσσας, ανεξέλεγκτη εκκίνηση των αντανακλαστικών και μη έγκαιρες αναπνευστικές κινήσεις. Η κατάποση είναι ταχεία και χαρακτηρίζεται από έλλειψη συντονισμού. Η χορεία </w:t>
      </w:r>
      <w:r>
        <w:rPr>
          <w:lang w:val="en-US"/>
        </w:rPr>
        <w:t>Huntington</w:t>
      </w:r>
      <w:r w:rsidRPr="00BF0161">
        <w:rPr>
          <w:lang w:val="el-GR"/>
        </w:rPr>
        <w:t xml:space="preserve"> επίσης παρουσιάζει αρκετά κοινά στοιχεία με αυτή της νόσου του  </w:t>
      </w:r>
      <w:r>
        <w:rPr>
          <w:lang w:val="en-US"/>
        </w:rPr>
        <w:t>Parkinson</w:t>
      </w:r>
      <w:r w:rsidRPr="00BF0161">
        <w:rPr>
          <w:lang w:val="el-GR"/>
        </w:rPr>
        <w:t xml:space="preserve"> (</w:t>
      </w:r>
      <w:proofErr w:type="spellStart"/>
      <w:r>
        <w:rPr>
          <w:lang w:val="en-US"/>
        </w:rPr>
        <w:t>Bigenzahn</w:t>
      </w:r>
      <w:proofErr w:type="spellEnd"/>
      <w:r w:rsidRPr="00BF0161">
        <w:rPr>
          <w:lang w:val="el-GR"/>
        </w:rPr>
        <w:t xml:space="preserve"> &amp; </w:t>
      </w:r>
      <w:proofErr w:type="spellStart"/>
      <w:r>
        <w:rPr>
          <w:lang w:val="en-US"/>
        </w:rPr>
        <w:t>Denk</w:t>
      </w:r>
      <w:proofErr w:type="spellEnd"/>
      <w:r w:rsidRPr="00BF0161">
        <w:rPr>
          <w:lang w:val="el-GR"/>
        </w:rPr>
        <w:t>, 2007).</w:t>
      </w:r>
    </w:p>
    <w:p w14:paraId="39AB4A34" w14:textId="77777777" w:rsidR="00642B1A" w:rsidRPr="00642B1A" w:rsidRDefault="00642B1A">
      <w:pPr>
        <w:spacing w:after="120" w:line="360" w:lineRule="auto"/>
        <w:jc w:val="both"/>
        <w:rPr>
          <w:lang w:val="el-GR"/>
        </w:rPr>
      </w:pPr>
    </w:p>
    <w:p w14:paraId="7B4A8B99" w14:textId="77777777" w:rsidR="00146CE2" w:rsidRPr="00BF0161" w:rsidRDefault="00DB0AA3">
      <w:pPr>
        <w:spacing w:after="120" w:line="360" w:lineRule="auto"/>
        <w:jc w:val="both"/>
        <w:rPr>
          <w:lang w:val="el-GR"/>
        </w:rPr>
      </w:pPr>
      <w:r w:rsidRPr="00BF0161">
        <w:rPr>
          <w:b/>
          <w:lang w:val="el-GR"/>
        </w:rPr>
        <w:t xml:space="preserve">Εγκεφαλίτιδα/ </w:t>
      </w:r>
      <w:proofErr w:type="spellStart"/>
      <w:r w:rsidRPr="00BF0161">
        <w:rPr>
          <w:b/>
          <w:lang w:val="el-GR"/>
        </w:rPr>
        <w:t>Πολυμυελίτιδα</w:t>
      </w:r>
      <w:proofErr w:type="spellEnd"/>
      <w:r w:rsidRPr="00BF0161">
        <w:rPr>
          <w:b/>
          <w:lang w:val="el-GR"/>
        </w:rPr>
        <w:t xml:space="preserve">: </w:t>
      </w:r>
      <w:r w:rsidRPr="00BF0161">
        <w:rPr>
          <w:lang w:val="el-GR"/>
        </w:rPr>
        <w:t xml:space="preserve">Σύμφωνα με τον </w:t>
      </w:r>
      <w:proofErr w:type="spellStart"/>
      <w:r>
        <w:rPr>
          <w:lang w:val="en-US"/>
        </w:rPr>
        <w:t>Groher</w:t>
      </w:r>
      <w:proofErr w:type="spellEnd"/>
      <w:r w:rsidRPr="00BF0161">
        <w:rPr>
          <w:lang w:val="el-GR"/>
        </w:rPr>
        <w:t xml:space="preserve"> (1997) η </w:t>
      </w:r>
      <w:proofErr w:type="spellStart"/>
      <w:r w:rsidRPr="00BF0161">
        <w:rPr>
          <w:lang w:val="el-GR"/>
        </w:rPr>
        <w:t>πολυμυελίτιδα</w:t>
      </w:r>
      <w:proofErr w:type="spellEnd"/>
      <w:r w:rsidRPr="00BF0161">
        <w:rPr>
          <w:lang w:val="el-GR"/>
        </w:rPr>
        <w:t xml:space="preserve"> είναι μία «</w:t>
      </w:r>
      <w:r w:rsidRPr="00BF0161">
        <w:rPr>
          <w:i/>
          <w:lang w:val="el-GR"/>
        </w:rPr>
        <w:t>οξεία μόλυνση που κυρίως επηρεάζει τα κατώτερα κινητικά νεύρα και σε πολλές περιπτώσεις και το εγκεφαλικό στέλεχος που οδηγεί σε προβλήματα όπως δυσφαγία</w:t>
      </w:r>
      <w:r w:rsidRPr="00BF0161">
        <w:rPr>
          <w:lang w:val="el-GR"/>
        </w:rPr>
        <w:t xml:space="preserve">». </w:t>
      </w:r>
    </w:p>
    <w:p w14:paraId="75DA5D32" w14:textId="77777777" w:rsidR="002348A1" w:rsidRPr="00BF0161" w:rsidRDefault="002348A1">
      <w:pPr>
        <w:spacing w:after="120" w:line="360" w:lineRule="auto"/>
        <w:jc w:val="both"/>
        <w:rPr>
          <w:b/>
          <w:lang w:val="el-GR"/>
        </w:rPr>
      </w:pPr>
    </w:p>
    <w:p w14:paraId="553647AA" w14:textId="77777777" w:rsidR="00146CE2" w:rsidRPr="00BF0161" w:rsidRDefault="00DB0AA3">
      <w:pPr>
        <w:spacing w:after="120" w:line="360" w:lineRule="auto"/>
        <w:jc w:val="both"/>
        <w:rPr>
          <w:lang w:val="el-GR"/>
        </w:rPr>
      </w:pPr>
      <w:r w:rsidRPr="00BF0161">
        <w:rPr>
          <w:b/>
          <w:lang w:val="el-GR"/>
        </w:rPr>
        <w:t xml:space="preserve">Νόσος κινητικών νευρώνων: </w:t>
      </w:r>
      <w:r w:rsidRPr="00BF0161">
        <w:rPr>
          <w:lang w:val="el-GR"/>
        </w:rPr>
        <w:t xml:space="preserve">Η νόσος των κινητικών νευρώνων είναι μια εκφυλιστική πάθηση των κινητικών νεύρων του εγκεφάλου, του εγκεφαλικού στελέχους και του νωτιαίου μυελού. Χαρακτηρίζεται από προοδευτική επιδείνωση, με αποτέλεσμα </w:t>
      </w:r>
      <w:r w:rsidR="00345872">
        <w:rPr>
          <w:lang w:val="el-GR"/>
        </w:rPr>
        <w:t>την πρόκληση ποικίλων</w:t>
      </w:r>
      <w:r w:rsidRPr="00BF0161">
        <w:rPr>
          <w:lang w:val="el-GR"/>
        </w:rPr>
        <w:t xml:space="preserve"> προβλημάτων και σοβαρή δυσφαγία, που συχνά θέτει την ζωή του ατόμου σε κίνδυνο. Η δυ</w:t>
      </w:r>
      <w:r w:rsidRPr="00BF0161">
        <w:rPr>
          <w:lang w:val="el-GR"/>
        </w:rPr>
        <w:lastRenderedPageBreak/>
        <w:t>σφαγία στη νόσο κινητικών νευρώνων σχετίζεται, είτε με το ανώτερο κινητικό νεύρο, είτε το κατώτερο, ή και συνδυασμό των δύο, και εμφανίζεται στα αρχικά στάδια της νόσου. Σε ορισμένες περιπτώσεις το σύμπτωμα της δυσφαγίας, οδηγεί σε διάγνωση της νόσου. Επιπλέον, παρατηρούνται διαταραχές, όπως δυσφωνία, ή δυσαρθρία (</w:t>
      </w:r>
      <w:proofErr w:type="spellStart"/>
      <w:r>
        <w:rPr>
          <w:lang w:val="en-US"/>
        </w:rPr>
        <w:t>Groher</w:t>
      </w:r>
      <w:proofErr w:type="spellEnd"/>
      <w:r w:rsidRPr="00BF0161">
        <w:rPr>
          <w:lang w:val="el-GR"/>
        </w:rPr>
        <w:t xml:space="preserve">, 1997). </w:t>
      </w:r>
    </w:p>
    <w:p w14:paraId="1E683261" w14:textId="77777777" w:rsidR="002348A1" w:rsidRPr="00BF0161" w:rsidRDefault="002348A1">
      <w:pPr>
        <w:spacing w:after="120" w:line="360" w:lineRule="auto"/>
        <w:jc w:val="both"/>
        <w:rPr>
          <w:b/>
          <w:lang w:val="el-GR"/>
        </w:rPr>
      </w:pPr>
    </w:p>
    <w:p w14:paraId="1E61831D" w14:textId="77777777" w:rsidR="00146CE2" w:rsidRPr="00BF0161" w:rsidRDefault="00DB0AA3">
      <w:pPr>
        <w:spacing w:after="120" w:line="360" w:lineRule="auto"/>
        <w:jc w:val="both"/>
        <w:rPr>
          <w:lang w:val="el-GR"/>
        </w:rPr>
      </w:pPr>
      <w:r w:rsidRPr="00BF0161">
        <w:rPr>
          <w:b/>
          <w:lang w:val="el-GR"/>
        </w:rPr>
        <w:t>Μυοπάθεια (Μυϊκή δυστροφία/</w:t>
      </w:r>
      <w:proofErr w:type="spellStart"/>
      <w:r w:rsidRPr="00BF0161">
        <w:rPr>
          <w:b/>
          <w:lang w:val="el-GR"/>
        </w:rPr>
        <w:t>Μυοτονική</w:t>
      </w:r>
      <w:proofErr w:type="spellEnd"/>
      <w:r w:rsidRPr="00BF0161">
        <w:rPr>
          <w:b/>
          <w:lang w:val="el-GR"/>
        </w:rPr>
        <w:t xml:space="preserve"> δυστροφία): </w:t>
      </w:r>
      <w:r w:rsidRPr="00BF0161">
        <w:rPr>
          <w:lang w:val="el-GR"/>
        </w:rPr>
        <w:t>Η</w:t>
      </w:r>
      <w:r w:rsidRPr="00BF0161">
        <w:rPr>
          <w:b/>
          <w:lang w:val="el-GR"/>
        </w:rPr>
        <w:t xml:space="preserve"> </w:t>
      </w:r>
      <w:r w:rsidRPr="00BF0161">
        <w:rPr>
          <w:lang w:val="el-GR"/>
        </w:rPr>
        <w:t xml:space="preserve">μυοπάθεια από τον </w:t>
      </w:r>
      <w:proofErr w:type="spellStart"/>
      <w:r>
        <w:rPr>
          <w:lang w:val="en-US"/>
        </w:rPr>
        <w:t>Groher</w:t>
      </w:r>
      <w:proofErr w:type="spellEnd"/>
      <w:r w:rsidRPr="00BF0161">
        <w:rPr>
          <w:lang w:val="el-GR"/>
        </w:rPr>
        <w:t xml:space="preserve"> (1997), ορίζεται ως μία ασθένεια μυών. Υπάρχουν εννέα είδη μυϊκής δυστροφίας, με διαφορετικά συμπτώματα το καθένα. Οι ασθενείς ίσως βιώσουν οισοφαγική δυσφορία  με αποτέλεσμα προβλήματα στη μεταφορά</w:t>
      </w:r>
      <w:r w:rsidR="006F5A07">
        <w:rPr>
          <w:lang w:val="el-GR"/>
        </w:rPr>
        <w:t xml:space="preserve"> του</w:t>
      </w:r>
      <w:r w:rsidRPr="00BF0161">
        <w:rPr>
          <w:lang w:val="el-GR"/>
        </w:rPr>
        <w:t xml:space="preserve"> βλωμού, ή και τη συσσώρευση τροφής στον άνω οισοφαγικό σφιγκτήρα ή τον οισοφάγο (</w:t>
      </w:r>
      <w:r>
        <w:rPr>
          <w:lang w:val="en-US"/>
        </w:rPr>
        <w:t>Corbin</w:t>
      </w:r>
      <w:r w:rsidRPr="00BF0161">
        <w:rPr>
          <w:lang w:val="el-GR"/>
        </w:rPr>
        <w:t xml:space="preserve">- </w:t>
      </w:r>
      <w:r>
        <w:rPr>
          <w:lang w:val="en-US"/>
        </w:rPr>
        <w:t>Lewis</w:t>
      </w:r>
      <w:r w:rsidRPr="00BF0161">
        <w:rPr>
          <w:lang w:val="el-GR"/>
        </w:rPr>
        <w:t xml:space="preserve">, </w:t>
      </w:r>
      <w:proofErr w:type="spellStart"/>
      <w:r>
        <w:rPr>
          <w:lang w:val="en-US"/>
        </w:rPr>
        <w:t>Liss</w:t>
      </w:r>
      <w:proofErr w:type="spellEnd"/>
      <w:r w:rsidRPr="00BF0161">
        <w:rPr>
          <w:lang w:val="el-GR"/>
        </w:rPr>
        <w:t xml:space="preserve"> &amp; </w:t>
      </w:r>
      <w:proofErr w:type="spellStart"/>
      <w:r>
        <w:rPr>
          <w:lang w:val="en-US"/>
        </w:rPr>
        <w:t>Sciortino</w:t>
      </w:r>
      <w:proofErr w:type="spellEnd"/>
      <w:r w:rsidRPr="00BF0161">
        <w:rPr>
          <w:lang w:val="el-GR"/>
        </w:rPr>
        <w:t xml:space="preserve">, 2004). Στη </w:t>
      </w:r>
      <w:proofErr w:type="spellStart"/>
      <w:r w:rsidRPr="00BF0161">
        <w:rPr>
          <w:lang w:val="el-GR"/>
        </w:rPr>
        <w:t>μυοτονική</w:t>
      </w:r>
      <w:proofErr w:type="spellEnd"/>
      <w:r w:rsidRPr="00BF0161">
        <w:rPr>
          <w:lang w:val="el-GR"/>
        </w:rPr>
        <w:t xml:space="preserve"> δυστροφία σημειώνεται σημαντική μείωση στον τόνο ηρεμίας του άνω και κάτω οισοφαγικού σφικτήρα, καθώς και μειωμένη πίεση συστολής στον φάρυγγα και στον οισοφάγο (</w:t>
      </w:r>
      <w:r>
        <w:rPr>
          <w:lang w:val="en-US"/>
        </w:rPr>
        <w:t>Murry</w:t>
      </w:r>
      <w:r w:rsidRPr="00BF0161">
        <w:rPr>
          <w:lang w:val="el-GR"/>
        </w:rPr>
        <w:t xml:space="preserve"> &amp; </w:t>
      </w:r>
      <w:proofErr w:type="spellStart"/>
      <w:r>
        <w:rPr>
          <w:lang w:val="en-US"/>
        </w:rPr>
        <w:t>Carrau</w:t>
      </w:r>
      <w:proofErr w:type="spellEnd"/>
      <w:r w:rsidR="00F04081">
        <w:rPr>
          <w:lang w:val="el-GR"/>
        </w:rPr>
        <w:t>, 2014).</w:t>
      </w:r>
    </w:p>
    <w:p w14:paraId="1DEFBB24" w14:textId="77777777" w:rsidR="002348A1" w:rsidRPr="00BF0161" w:rsidRDefault="002348A1">
      <w:pPr>
        <w:spacing w:after="120" w:line="360" w:lineRule="auto"/>
        <w:jc w:val="both"/>
        <w:rPr>
          <w:b/>
          <w:lang w:val="el-GR"/>
        </w:rPr>
      </w:pPr>
    </w:p>
    <w:p w14:paraId="10EB121F" w14:textId="77777777" w:rsidR="00146CE2" w:rsidRPr="00BF0161" w:rsidRDefault="00DB0AA3">
      <w:pPr>
        <w:spacing w:after="120" w:line="360" w:lineRule="auto"/>
        <w:jc w:val="both"/>
        <w:rPr>
          <w:lang w:val="el-GR"/>
        </w:rPr>
      </w:pPr>
      <w:r w:rsidRPr="00BF0161">
        <w:rPr>
          <w:b/>
          <w:lang w:val="el-GR"/>
        </w:rPr>
        <w:t xml:space="preserve">Σύνδρομο </w:t>
      </w:r>
      <w:proofErr w:type="spellStart"/>
      <w:r>
        <w:rPr>
          <w:b/>
          <w:lang w:val="en-US"/>
        </w:rPr>
        <w:t>Guillain</w:t>
      </w:r>
      <w:proofErr w:type="spellEnd"/>
      <w:r w:rsidRPr="00BF0161">
        <w:rPr>
          <w:b/>
          <w:lang w:val="el-GR"/>
        </w:rPr>
        <w:t xml:space="preserve">- </w:t>
      </w:r>
      <w:r>
        <w:rPr>
          <w:b/>
          <w:lang w:val="en-US"/>
        </w:rPr>
        <w:t>Barre</w:t>
      </w:r>
      <w:r w:rsidRPr="00BF0161">
        <w:rPr>
          <w:lang w:val="el-GR"/>
        </w:rPr>
        <w:t xml:space="preserve">: Το σύνδρομο </w:t>
      </w:r>
      <w:proofErr w:type="spellStart"/>
      <w:r>
        <w:rPr>
          <w:lang w:val="en-US"/>
        </w:rPr>
        <w:t>Guillain</w:t>
      </w:r>
      <w:proofErr w:type="spellEnd"/>
      <w:r w:rsidRPr="00BF0161">
        <w:rPr>
          <w:lang w:val="el-GR"/>
        </w:rPr>
        <w:t>-</w:t>
      </w:r>
      <w:r>
        <w:rPr>
          <w:lang w:val="en-US"/>
        </w:rPr>
        <w:t>Barre</w:t>
      </w:r>
      <w:r w:rsidRPr="00BF0161">
        <w:rPr>
          <w:lang w:val="el-GR"/>
        </w:rPr>
        <w:t xml:space="preserve"> είναι μία οξεία πάθηση των περιφερικών νεύρων. Με την εμφάνιση της νόσου</w:t>
      </w:r>
      <w:r w:rsidRPr="00BF0161">
        <w:rPr>
          <w:b/>
          <w:lang w:val="el-GR"/>
        </w:rPr>
        <w:t xml:space="preserve"> </w:t>
      </w:r>
      <w:r w:rsidRPr="00BF0161">
        <w:rPr>
          <w:lang w:val="el-GR"/>
        </w:rPr>
        <w:t xml:space="preserve">σύντομα </w:t>
      </w:r>
      <w:r w:rsidRPr="00BF0161">
        <w:rPr>
          <w:lang w:val="el-GR"/>
        </w:rPr>
        <w:lastRenderedPageBreak/>
        <w:t>επέρχεται αίσθημα αδυναμίας και συχνά σημειώνονται περιστατικά παράλυσης των ποδιών, χεριών και των μυών της αναπνοής (</w:t>
      </w:r>
      <w:r>
        <w:rPr>
          <w:lang w:val="en-US"/>
        </w:rPr>
        <w:t>Corbin</w:t>
      </w:r>
      <w:r w:rsidRPr="00BF0161">
        <w:rPr>
          <w:lang w:val="el-GR"/>
        </w:rPr>
        <w:t xml:space="preserve">- </w:t>
      </w:r>
      <w:r>
        <w:rPr>
          <w:lang w:val="en-US"/>
        </w:rPr>
        <w:t>Lewis</w:t>
      </w:r>
      <w:r w:rsidRPr="00BF0161">
        <w:rPr>
          <w:lang w:val="el-GR"/>
        </w:rPr>
        <w:t xml:space="preserve">, </w:t>
      </w:r>
      <w:proofErr w:type="spellStart"/>
      <w:r>
        <w:rPr>
          <w:lang w:val="en-US"/>
        </w:rPr>
        <w:t>Liss</w:t>
      </w:r>
      <w:proofErr w:type="spellEnd"/>
      <w:r w:rsidRPr="00BF0161">
        <w:rPr>
          <w:lang w:val="el-GR"/>
        </w:rPr>
        <w:t xml:space="preserve"> &amp; </w:t>
      </w:r>
      <w:proofErr w:type="spellStart"/>
      <w:r>
        <w:rPr>
          <w:lang w:val="en-US"/>
        </w:rPr>
        <w:t>Sciortino</w:t>
      </w:r>
      <w:proofErr w:type="spellEnd"/>
      <w:r w:rsidRPr="00BF0161">
        <w:rPr>
          <w:lang w:val="el-GR"/>
        </w:rPr>
        <w:t xml:space="preserve">, 2004). Ο </w:t>
      </w:r>
      <w:r>
        <w:rPr>
          <w:lang w:val="en-US"/>
        </w:rPr>
        <w:t>Chen</w:t>
      </w:r>
      <w:r w:rsidRPr="00BF0161">
        <w:rPr>
          <w:lang w:val="el-GR"/>
        </w:rPr>
        <w:t xml:space="preserve"> και οι συνεργάτες (1996) μελετώντας κάποιους ασθενείς διαπίστωσαν την εκδήλωση διαταραχών τόσο στο στοματικό όσο και στο φαρυγγικό στάδιο κατάποσης (</w:t>
      </w:r>
      <w:proofErr w:type="spellStart"/>
      <w:r>
        <w:rPr>
          <w:lang w:val="en-US"/>
        </w:rPr>
        <w:t>Bigenzahn</w:t>
      </w:r>
      <w:proofErr w:type="spellEnd"/>
      <w:r w:rsidRPr="00BF0161">
        <w:rPr>
          <w:lang w:val="el-GR"/>
        </w:rPr>
        <w:t xml:space="preserve"> &amp; </w:t>
      </w:r>
      <w:proofErr w:type="spellStart"/>
      <w:r>
        <w:rPr>
          <w:lang w:val="en-US"/>
        </w:rPr>
        <w:t>Denk</w:t>
      </w:r>
      <w:proofErr w:type="spellEnd"/>
      <w:r w:rsidRPr="00BF0161">
        <w:rPr>
          <w:lang w:val="el-GR"/>
        </w:rPr>
        <w:t>, 2007).</w:t>
      </w:r>
    </w:p>
    <w:p w14:paraId="2522F206" w14:textId="77777777" w:rsidR="002348A1" w:rsidRPr="00BF0161" w:rsidRDefault="002348A1">
      <w:pPr>
        <w:spacing w:after="120" w:line="360" w:lineRule="auto"/>
        <w:jc w:val="both"/>
        <w:rPr>
          <w:b/>
          <w:lang w:val="el-GR"/>
        </w:rPr>
      </w:pPr>
    </w:p>
    <w:p w14:paraId="48ABA3F3" w14:textId="77777777" w:rsidR="00146CE2" w:rsidRPr="00BF0161" w:rsidRDefault="00DB0AA3">
      <w:pPr>
        <w:spacing w:after="120" w:line="360" w:lineRule="auto"/>
        <w:jc w:val="both"/>
        <w:rPr>
          <w:lang w:val="el-GR"/>
        </w:rPr>
      </w:pPr>
      <w:r w:rsidRPr="00BF0161">
        <w:rPr>
          <w:b/>
          <w:lang w:val="el-GR"/>
        </w:rPr>
        <w:t xml:space="preserve">Μηνιγγίτιδα: </w:t>
      </w:r>
      <w:r w:rsidRPr="00BF0161">
        <w:rPr>
          <w:lang w:val="el-GR"/>
        </w:rPr>
        <w:t xml:space="preserve">Ο </w:t>
      </w:r>
      <w:proofErr w:type="spellStart"/>
      <w:r>
        <w:rPr>
          <w:lang w:val="en-US"/>
        </w:rPr>
        <w:t>Schindelmeiser</w:t>
      </w:r>
      <w:proofErr w:type="spellEnd"/>
      <w:r w:rsidRPr="00BF0161">
        <w:rPr>
          <w:lang w:val="el-GR"/>
        </w:rPr>
        <w:t xml:space="preserve"> (2013), ορίζει την μηνιγγίτιδα ως «</w:t>
      </w:r>
      <w:r w:rsidRPr="00BF0161">
        <w:rPr>
          <w:i/>
          <w:lang w:val="el-GR"/>
        </w:rPr>
        <w:t>μια φλεγμονή (μικροβιακή ή ιογενής) των μηνίγγων, όπου παρατηρείται υπερπαραγωγή εγκεφαλονωτιαίου υγρού</w:t>
      </w:r>
      <w:r w:rsidRPr="00BF0161">
        <w:rPr>
          <w:lang w:val="el-GR"/>
        </w:rPr>
        <w:t xml:space="preserve">». Τα βακτήρια και οι ιοί, αποτελούν αίτια μικροβιακών φλεγμονών των μηνίγγων (μηνιγγίτιδα). Στη </w:t>
      </w:r>
      <w:proofErr w:type="spellStart"/>
      <w:r w:rsidRPr="00BF0161">
        <w:rPr>
          <w:lang w:val="el-GR"/>
        </w:rPr>
        <w:t>βακτηριακή</w:t>
      </w:r>
      <w:proofErr w:type="spellEnd"/>
      <w:r w:rsidRPr="00BF0161">
        <w:rPr>
          <w:lang w:val="el-GR"/>
        </w:rPr>
        <w:t xml:space="preserve"> μηνιγγίτιδα, λόγω προσβολής κάποιων εγκεφαλικών νεύρων, διαταράσσεται η κανονικότητα της κατάποσης. Στην περίπτωση της ιογενής τα συμπτώματα είναι ηπιότερα (</w:t>
      </w:r>
      <w:proofErr w:type="spellStart"/>
      <w:r>
        <w:rPr>
          <w:lang w:val="en-US"/>
        </w:rPr>
        <w:t>Schindelmeiser</w:t>
      </w:r>
      <w:proofErr w:type="spellEnd"/>
      <w:r w:rsidRPr="00BF0161">
        <w:rPr>
          <w:lang w:val="el-GR"/>
        </w:rPr>
        <w:t>, 2013).</w:t>
      </w:r>
    </w:p>
    <w:p w14:paraId="7BBD7DF6" w14:textId="77777777" w:rsidR="000C045A" w:rsidRDefault="000C045A">
      <w:pPr>
        <w:spacing w:after="120" w:line="360" w:lineRule="auto"/>
        <w:jc w:val="both"/>
        <w:rPr>
          <w:b/>
          <w:lang w:val="el-GR"/>
        </w:rPr>
      </w:pPr>
    </w:p>
    <w:p w14:paraId="2F963AA8" w14:textId="77777777" w:rsidR="00146CE2" w:rsidRPr="00456D14" w:rsidRDefault="00DB0AA3" w:rsidP="00456D14">
      <w:pPr>
        <w:pStyle w:val="2"/>
        <w:spacing w:before="0" w:line="360" w:lineRule="auto"/>
        <w:rPr>
          <w:b/>
        </w:rPr>
      </w:pPr>
      <w:bookmarkStart w:id="19" w:name="_Toc493323965"/>
      <w:r w:rsidRPr="00456D14">
        <w:rPr>
          <w:b/>
        </w:rPr>
        <w:t>1.3.2 Δομικά/Μηχανικά αίτια δυσφαγίας</w:t>
      </w:r>
      <w:bookmarkEnd w:id="19"/>
      <w:r w:rsidRPr="00456D14">
        <w:rPr>
          <w:b/>
        </w:rPr>
        <w:t xml:space="preserve"> </w:t>
      </w:r>
    </w:p>
    <w:p w14:paraId="31551546" w14:textId="77777777" w:rsidR="00146CE2" w:rsidRPr="00BF0161" w:rsidRDefault="00DB0AA3">
      <w:pPr>
        <w:spacing w:after="120" w:line="360" w:lineRule="auto"/>
        <w:jc w:val="both"/>
        <w:rPr>
          <w:lang w:val="el-GR"/>
        </w:rPr>
      </w:pPr>
      <w:r w:rsidRPr="00BF0161">
        <w:rPr>
          <w:lang w:val="el-GR"/>
        </w:rPr>
        <w:t>Από ασθενείς με δυσφαγία δομικού τύπου έχουν καταγραφεί δυσκολίες,</w:t>
      </w:r>
      <w:r w:rsidR="00AD08B8" w:rsidRPr="00BF0161">
        <w:rPr>
          <w:lang w:val="el-GR"/>
        </w:rPr>
        <w:t xml:space="preserve"> όπως και επιπλοκές στους μύες </w:t>
      </w:r>
      <w:r w:rsidRPr="00BF0161">
        <w:rPr>
          <w:lang w:val="el-GR"/>
        </w:rPr>
        <w:t xml:space="preserve">της κατάποσης, απώλεια της κινητικότητας και αισθητικότητας αυτών των μυών. Τα περιφερικά και κεντρικά νεύρα </w:t>
      </w:r>
      <w:r w:rsidRPr="00BF0161">
        <w:rPr>
          <w:lang w:val="el-GR"/>
        </w:rPr>
        <w:lastRenderedPageBreak/>
        <w:t>που ενεργοποιούνται κατά την κατάπο</w:t>
      </w:r>
      <w:r w:rsidR="00BD09E3">
        <w:rPr>
          <w:lang w:val="el-GR"/>
        </w:rPr>
        <w:t>ση παραμένουν ακέραι</w:t>
      </w:r>
      <w:r w:rsidRPr="00BF0161">
        <w:rPr>
          <w:lang w:val="el-GR"/>
        </w:rPr>
        <w:t>α στη δομική δυσφαγία, όχι όμως οι δομές που χρησιμοποιούνται (</w:t>
      </w:r>
      <w:proofErr w:type="spellStart"/>
      <w:r>
        <w:rPr>
          <w:lang w:val="en-US"/>
        </w:rPr>
        <w:t>Groher</w:t>
      </w:r>
      <w:proofErr w:type="spellEnd"/>
      <w:r w:rsidRPr="00BF0161">
        <w:rPr>
          <w:lang w:val="el-GR"/>
        </w:rPr>
        <w:t>, 1997).</w:t>
      </w:r>
    </w:p>
    <w:p w14:paraId="281DFAE5" w14:textId="77777777" w:rsidR="007F13FD" w:rsidRDefault="007F13FD">
      <w:pPr>
        <w:spacing w:after="120" w:line="360" w:lineRule="auto"/>
        <w:jc w:val="both"/>
        <w:rPr>
          <w:lang w:val="el-GR"/>
        </w:rPr>
      </w:pPr>
    </w:p>
    <w:p w14:paraId="212EDC37" w14:textId="77777777" w:rsidR="007F13FD" w:rsidRDefault="007F13FD">
      <w:pPr>
        <w:spacing w:after="120" w:line="360" w:lineRule="auto"/>
        <w:jc w:val="both"/>
        <w:rPr>
          <w:lang w:val="el-GR"/>
        </w:rPr>
      </w:pPr>
    </w:p>
    <w:p w14:paraId="1DC2E63A" w14:textId="77777777" w:rsidR="00146CE2" w:rsidRPr="00BF0161" w:rsidRDefault="00DB0AA3">
      <w:pPr>
        <w:spacing w:after="120" w:line="360" w:lineRule="auto"/>
        <w:jc w:val="both"/>
        <w:rPr>
          <w:lang w:val="el-GR"/>
        </w:rPr>
      </w:pPr>
      <w:r w:rsidRPr="00BF0161">
        <w:rPr>
          <w:lang w:val="el-GR"/>
        </w:rPr>
        <w:t>Τα δομικά/μηχανικά αίτια της δυσφαγίας είναι:</w:t>
      </w:r>
    </w:p>
    <w:tbl>
      <w:tblPr>
        <w:tblW w:w="0" w:type="auto"/>
        <w:tblInd w:w="10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firstRow="1" w:lastRow="0" w:firstColumn="1" w:lastColumn="0" w:noHBand="0" w:noVBand="1"/>
      </w:tblPr>
      <w:tblGrid>
        <w:gridCol w:w="4470"/>
        <w:gridCol w:w="4307"/>
      </w:tblGrid>
      <w:tr w:rsidR="00EC4EB6" w14:paraId="2D4E9E9C" w14:textId="77777777" w:rsidTr="00EC4EB6">
        <w:trPr>
          <w:trHeight w:val="213"/>
        </w:trPr>
        <w:tc>
          <w:tcPr>
            <w:tcW w:w="44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906F40B" w14:textId="77777777" w:rsidR="00EC4EB6" w:rsidRDefault="00EC4EB6">
            <w:pPr>
              <w:spacing w:line="360" w:lineRule="auto"/>
              <w:jc w:val="both"/>
            </w:pPr>
            <w:proofErr w:type="spellStart"/>
            <w:r>
              <w:t>Τρ</w:t>
            </w:r>
            <w:proofErr w:type="spellEnd"/>
            <w:r>
              <w:t>αχειοτομή</w:t>
            </w:r>
          </w:p>
        </w:tc>
        <w:tc>
          <w:tcPr>
            <w:tcW w:w="4307" w:type="dxa"/>
            <w:tcBorders>
              <w:top w:val="single" w:sz="4" w:space="0" w:color="000001"/>
              <w:left w:val="single" w:sz="4" w:space="0" w:color="000001"/>
              <w:bottom w:val="single" w:sz="4" w:space="0" w:color="000001"/>
              <w:right w:val="single" w:sz="4" w:space="0" w:color="000001"/>
            </w:tcBorders>
          </w:tcPr>
          <w:p w14:paraId="7ACD33F1" w14:textId="77777777" w:rsidR="00EC4EB6" w:rsidRDefault="00EC4EB6">
            <w:pPr>
              <w:spacing w:line="360" w:lineRule="auto"/>
              <w:jc w:val="both"/>
            </w:pPr>
            <w:proofErr w:type="spellStart"/>
            <w:r>
              <w:t>Εκκολ</w:t>
            </w:r>
            <w:proofErr w:type="spellEnd"/>
            <w:r>
              <w:t>πώματα</w:t>
            </w:r>
          </w:p>
        </w:tc>
      </w:tr>
      <w:tr w:rsidR="00EC4EB6" w14:paraId="6054F4A2" w14:textId="77777777" w:rsidTr="00EC4EB6">
        <w:trPr>
          <w:trHeight w:val="71"/>
        </w:trPr>
        <w:tc>
          <w:tcPr>
            <w:tcW w:w="44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C279C77" w14:textId="77777777" w:rsidR="00EC4EB6" w:rsidRDefault="00EC4EB6">
            <w:pPr>
              <w:spacing w:line="360" w:lineRule="auto"/>
              <w:jc w:val="both"/>
            </w:pPr>
            <w:r>
              <w:t>Λα</w:t>
            </w:r>
            <w:proofErr w:type="spellStart"/>
            <w:r>
              <w:t>ρυγγεκτομή</w:t>
            </w:r>
            <w:proofErr w:type="spellEnd"/>
          </w:p>
        </w:tc>
        <w:tc>
          <w:tcPr>
            <w:tcW w:w="4307" w:type="dxa"/>
            <w:tcBorders>
              <w:top w:val="single" w:sz="4" w:space="0" w:color="000001"/>
              <w:left w:val="single" w:sz="4" w:space="0" w:color="000001"/>
              <w:bottom w:val="single" w:sz="4" w:space="0" w:color="000001"/>
              <w:right w:val="single" w:sz="4" w:space="0" w:color="000001"/>
            </w:tcBorders>
          </w:tcPr>
          <w:p w14:paraId="56AA5A3F" w14:textId="77777777" w:rsidR="00EC4EB6" w:rsidRDefault="00EC4EB6">
            <w:pPr>
              <w:spacing w:line="360" w:lineRule="auto"/>
              <w:jc w:val="both"/>
            </w:pPr>
            <w:proofErr w:type="spellStart"/>
            <w:r>
              <w:t>Χειρουργικές</w:t>
            </w:r>
            <w:proofErr w:type="spellEnd"/>
            <w:r>
              <w:t xml:space="preserve"> επ</w:t>
            </w:r>
            <w:proofErr w:type="spellStart"/>
            <w:r>
              <w:t>εμ</w:t>
            </w:r>
            <w:proofErr w:type="spellEnd"/>
            <w:r>
              <w:t xml:space="preserve">βάσεις </w:t>
            </w:r>
          </w:p>
        </w:tc>
      </w:tr>
      <w:tr w:rsidR="00EC4EB6" w14:paraId="3E63A556" w14:textId="77777777" w:rsidTr="00EC4EB6">
        <w:trPr>
          <w:trHeight w:val="115"/>
        </w:trPr>
        <w:tc>
          <w:tcPr>
            <w:tcW w:w="44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639CB36" w14:textId="77777777" w:rsidR="00EC4EB6" w:rsidRDefault="00EC4EB6">
            <w:pPr>
              <w:spacing w:line="360" w:lineRule="auto"/>
              <w:jc w:val="both"/>
            </w:pPr>
            <w:proofErr w:type="spellStart"/>
            <w:r>
              <w:t>Ακτινοθερ</w:t>
            </w:r>
            <w:proofErr w:type="spellEnd"/>
            <w:r>
              <w:t>απεία</w:t>
            </w:r>
          </w:p>
        </w:tc>
        <w:tc>
          <w:tcPr>
            <w:tcW w:w="4307" w:type="dxa"/>
            <w:tcBorders>
              <w:top w:val="single" w:sz="4" w:space="0" w:color="000001"/>
              <w:left w:val="single" w:sz="4" w:space="0" w:color="000001"/>
              <w:bottom w:val="single" w:sz="4" w:space="0" w:color="000001"/>
              <w:right w:val="single" w:sz="4" w:space="0" w:color="000001"/>
            </w:tcBorders>
          </w:tcPr>
          <w:p w14:paraId="6235A0B8" w14:textId="77777777" w:rsidR="00EC4EB6" w:rsidRDefault="00EC4EB6">
            <w:pPr>
              <w:spacing w:line="360" w:lineRule="auto"/>
              <w:jc w:val="both"/>
            </w:pPr>
            <w:proofErr w:type="spellStart"/>
            <w:r>
              <w:t>Όγκοι</w:t>
            </w:r>
            <w:proofErr w:type="spellEnd"/>
          </w:p>
        </w:tc>
      </w:tr>
      <w:tr w:rsidR="00EC4EB6" w14:paraId="3957C5BB" w14:textId="77777777" w:rsidTr="00EC4EB6">
        <w:trPr>
          <w:trHeight w:val="213"/>
        </w:trPr>
        <w:tc>
          <w:tcPr>
            <w:tcW w:w="44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FCA9CB3" w14:textId="77777777" w:rsidR="00EC4EB6" w:rsidRDefault="00EC4EB6">
            <w:pPr>
              <w:spacing w:line="360" w:lineRule="auto"/>
              <w:jc w:val="both"/>
            </w:pPr>
            <w:proofErr w:type="spellStart"/>
            <w:r>
              <w:t>Τρ</w:t>
            </w:r>
            <w:proofErr w:type="spellEnd"/>
            <w:r>
              <w:t xml:space="preserve">αχειοοισοφαγικό </w:t>
            </w:r>
            <w:proofErr w:type="spellStart"/>
            <w:r>
              <w:t>συρίγγιο</w:t>
            </w:r>
            <w:proofErr w:type="spellEnd"/>
            <w:r>
              <w:t xml:space="preserve"> </w:t>
            </w:r>
          </w:p>
        </w:tc>
        <w:tc>
          <w:tcPr>
            <w:tcW w:w="4307" w:type="dxa"/>
            <w:tcBorders>
              <w:top w:val="single" w:sz="4" w:space="0" w:color="000001"/>
              <w:left w:val="single" w:sz="4" w:space="0" w:color="000001"/>
              <w:bottom w:val="single" w:sz="4" w:space="0" w:color="000001"/>
              <w:right w:val="single" w:sz="4" w:space="0" w:color="000001"/>
            </w:tcBorders>
          </w:tcPr>
          <w:p w14:paraId="6AEA4B4D" w14:textId="77777777" w:rsidR="00EC4EB6" w:rsidRDefault="00EC4EB6">
            <w:pPr>
              <w:spacing w:line="360" w:lineRule="auto"/>
              <w:jc w:val="both"/>
            </w:pPr>
            <w:proofErr w:type="spellStart"/>
            <w:r>
              <w:t>Δι</w:t>
            </w:r>
            <w:proofErr w:type="spellEnd"/>
            <w:r>
              <w:t>αφραγματοκήλη</w:t>
            </w:r>
          </w:p>
        </w:tc>
      </w:tr>
      <w:tr w:rsidR="00EC4EB6" w14:paraId="4CB6520B" w14:textId="77777777" w:rsidTr="00EC4EB6">
        <w:trPr>
          <w:trHeight w:val="143"/>
        </w:trPr>
        <w:tc>
          <w:tcPr>
            <w:tcW w:w="44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7495B0A" w14:textId="77777777" w:rsidR="00EC4EB6" w:rsidRDefault="00EC4EB6">
            <w:pPr>
              <w:spacing w:line="360" w:lineRule="auto"/>
              <w:jc w:val="both"/>
            </w:pPr>
            <w:proofErr w:type="spellStart"/>
            <w:r>
              <w:t>Τρ</w:t>
            </w:r>
            <w:proofErr w:type="spellEnd"/>
            <w:r>
              <w:t>αύματα</w:t>
            </w:r>
          </w:p>
        </w:tc>
        <w:tc>
          <w:tcPr>
            <w:tcW w:w="4307" w:type="dxa"/>
            <w:tcBorders>
              <w:top w:val="single" w:sz="4" w:space="0" w:color="000001"/>
              <w:left w:val="single" w:sz="4" w:space="0" w:color="000001"/>
              <w:bottom w:val="single" w:sz="4" w:space="0" w:color="000001"/>
              <w:right w:val="single" w:sz="4" w:space="0" w:color="000001"/>
            </w:tcBorders>
          </w:tcPr>
          <w:p w14:paraId="5436931B" w14:textId="77777777" w:rsidR="00EC4EB6" w:rsidRDefault="00EC4EB6">
            <w:pPr>
              <w:spacing w:line="360" w:lineRule="auto"/>
              <w:jc w:val="both"/>
            </w:pPr>
            <w:r>
              <w:t>Πα</w:t>
            </w:r>
            <w:proofErr w:type="spellStart"/>
            <w:r>
              <w:t>ρεμ</w:t>
            </w:r>
            <w:proofErr w:type="spellEnd"/>
            <w:r>
              <w:t>πόδιση</w:t>
            </w:r>
          </w:p>
        </w:tc>
      </w:tr>
      <w:tr w:rsidR="00EC4EB6" w14:paraId="23E6F972" w14:textId="77777777" w:rsidTr="00EC4EB6">
        <w:trPr>
          <w:trHeight w:val="540"/>
        </w:trPr>
        <w:tc>
          <w:tcPr>
            <w:tcW w:w="447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97644AB" w14:textId="77777777" w:rsidR="00EC4EB6" w:rsidRDefault="008D3C4C">
            <w:pPr>
              <w:spacing w:line="360" w:lineRule="auto"/>
              <w:jc w:val="both"/>
            </w:pPr>
            <w:proofErr w:type="spellStart"/>
            <w:r>
              <w:t>Χειλεο</w:t>
            </w:r>
            <w:proofErr w:type="spellEnd"/>
            <w:r>
              <w:t xml:space="preserve">- </w:t>
            </w:r>
            <w:proofErr w:type="spellStart"/>
            <w:r>
              <w:t>γν</w:t>
            </w:r>
            <w:proofErr w:type="spellEnd"/>
            <w:r>
              <w:t>αθο- υπ</w:t>
            </w:r>
            <w:proofErr w:type="spellStart"/>
            <w:r>
              <w:t>ερω</w:t>
            </w:r>
            <w:proofErr w:type="spellEnd"/>
            <w:r>
              <w:rPr>
                <w:lang w:val="el-GR"/>
              </w:rPr>
              <w:t>ϊ</w:t>
            </w:r>
            <w:r w:rsidR="00EC4EB6">
              <w:rPr>
                <w:lang w:val="en-US"/>
              </w:rPr>
              <w:t>o</w:t>
            </w:r>
            <w:proofErr w:type="spellStart"/>
            <w:r w:rsidR="00EC4EB6">
              <w:t>σχιστί</w:t>
            </w:r>
            <w:proofErr w:type="spellEnd"/>
            <w:r w:rsidR="00EC4EB6">
              <w:t>α</w:t>
            </w:r>
          </w:p>
        </w:tc>
        <w:tc>
          <w:tcPr>
            <w:tcW w:w="4307" w:type="dxa"/>
            <w:tcBorders>
              <w:top w:val="single" w:sz="4" w:space="0" w:color="000001"/>
              <w:left w:val="single" w:sz="4" w:space="0" w:color="000001"/>
              <w:bottom w:val="single" w:sz="4" w:space="0" w:color="000001"/>
              <w:right w:val="single" w:sz="4" w:space="0" w:color="000001"/>
            </w:tcBorders>
          </w:tcPr>
          <w:p w14:paraId="19351157" w14:textId="77777777" w:rsidR="00EC4EB6" w:rsidRDefault="00EC4EB6">
            <w:pPr>
              <w:spacing w:line="360" w:lineRule="auto"/>
              <w:jc w:val="both"/>
            </w:pPr>
            <w:proofErr w:type="spellStart"/>
            <w:r>
              <w:t>Οίδημ</w:t>
            </w:r>
            <w:proofErr w:type="spellEnd"/>
            <w:r>
              <w:t>α</w:t>
            </w:r>
          </w:p>
        </w:tc>
      </w:tr>
    </w:tbl>
    <w:p w14:paraId="6EFC3EC9" w14:textId="77777777" w:rsidR="00146CE2" w:rsidRDefault="00DB0AA3">
      <w:pPr>
        <w:spacing w:after="120" w:line="360" w:lineRule="auto"/>
        <w:jc w:val="both"/>
      </w:pPr>
      <w:proofErr w:type="spellStart"/>
      <w:r>
        <w:rPr>
          <w:b/>
        </w:rPr>
        <w:t>Πίν</w:t>
      </w:r>
      <w:proofErr w:type="spellEnd"/>
      <w:r>
        <w:rPr>
          <w:b/>
        </w:rPr>
        <w:t>ακας 1.3:</w:t>
      </w:r>
      <w:r>
        <w:t xml:space="preserve"> </w:t>
      </w:r>
      <w:proofErr w:type="spellStart"/>
      <w:r>
        <w:t>Μηχ</w:t>
      </w:r>
      <w:proofErr w:type="spellEnd"/>
      <w:r>
        <w:t xml:space="preserve">ανικά </w:t>
      </w:r>
      <w:proofErr w:type="spellStart"/>
      <w:r>
        <w:t>δομικά</w:t>
      </w:r>
      <w:proofErr w:type="spellEnd"/>
      <w:r>
        <w:t xml:space="preserve"> α</w:t>
      </w:r>
      <w:proofErr w:type="spellStart"/>
      <w:r>
        <w:t>ίτι</w:t>
      </w:r>
      <w:proofErr w:type="spellEnd"/>
      <w:r>
        <w:t xml:space="preserve">α </w:t>
      </w:r>
      <w:proofErr w:type="spellStart"/>
      <w:r>
        <w:t>δυσφ</w:t>
      </w:r>
      <w:proofErr w:type="spellEnd"/>
      <w:r>
        <w:t xml:space="preserve">αγίας/ </w:t>
      </w:r>
      <w:proofErr w:type="spellStart"/>
      <w:r>
        <w:t>Πηγές</w:t>
      </w:r>
      <w:proofErr w:type="spellEnd"/>
      <w:r>
        <w:t xml:space="preserve">: </w:t>
      </w:r>
      <w:r>
        <w:rPr>
          <w:lang w:val="en-US"/>
        </w:rPr>
        <w:t>Corbin</w:t>
      </w:r>
      <w:r>
        <w:t xml:space="preserve">- </w:t>
      </w:r>
      <w:r>
        <w:rPr>
          <w:lang w:val="en-US"/>
        </w:rPr>
        <w:t>Lewis</w:t>
      </w:r>
      <w:r>
        <w:t xml:space="preserve">, </w:t>
      </w:r>
      <w:proofErr w:type="spellStart"/>
      <w:r>
        <w:rPr>
          <w:lang w:val="en-US"/>
        </w:rPr>
        <w:t>Liss</w:t>
      </w:r>
      <w:proofErr w:type="spellEnd"/>
      <w:r>
        <w:t xml:space="preserve"> &amp; </w:t>
      </w:r>
      <w:proofErr w:type="spellStart"/>
      <w:r>
        <w:rPr>
          <w:lang w:val="en-US"/>
        </w:rPr>
        <w:t>Sciortino</w:t>
      </w:r>
      <w:proofErr w:type="spellEnd"/>
      <w:r>
        <w:t xml:space="preserve"> (2004), </w:t>
      </w:r>
      <w:proofErr w:type="spellStart"/>
      <w:r>
        <w:rPr>
          <w:lang w:val="en-US"/>
        </w:rPr>
        <w:t>Groher</w:t>
      </w:r>
      <w:proofErr w:type="spellEnd"/>
      <w:r>
        <w:t xml:space="preserve"> (1997), </w:t>
      </w:r>
      <w:r>
        <w:rPr>
          <w:lang w:val="en-US"/>
        </w:rPr>
        <w:t>Murry</w:t>
      </w:r>
      <w:r>
        <w:t xml:space="preserve"> &amp; </w:t>
      </w:r>
      <w:proofErr w:type="spellStart"/>
      <w:r>
        <w:rPr>
          <w:lang w:val="en-US"/>
        </w:rPr>
        <w:t>Carrau</w:t>
      </w:r>
      <w:proofErr w:type="spellEnd"/>
      <w:r>
        <w:t xml:space="preserve"> (2014), </w:t>
      </w:r>
      <w:proofErr w:type="spellStart"/>
      <w:r>
        <w:rPr>
          <w:lang w:val="en-US"/>
        </w:rPr>
        <w:t>Schindelmeiser</w:t>
      </w:r>
      <w:proofErr w:type="spellEnd"/>
      <w:r>
        <w:t xml:space="preserve"> (2013).</w:t>
      </w:r>
    </w:p>
    <w:p w14:paraId="5E01A3F2" w14:textId="77777777" w:rsidR="00146CE2" w:rsidRDefault="00146CE2">
      <w:pPr>
        <w:spacing w:after="120" w:line="360" w:lineRule="auto"/>
        <w:jc w:val="both"/>
      </w:pPr>
    </w:p>
    <w:p w14:paraId="7FFB6FB9" w14:textId="77777777" w:rsidR="00146CE2" w:rsidRPr="00BF0161" w:rsidRDefault="00DB0AA3">
      <w:pPr>
        <w:spacing w:after="120" w:line="360" w:lineRule="auto"/>
        <w:jc w:val="both"/>
        <w:rPr>
          <w:lang w:val="el-GR"/>
        </w:rPr>
      </w:pPr>
      <w:r w:rsidRPr="00BF0161">
        <w:rPr>
          <w:b/>
          <w:lang w:val="el-GR"/>
        </w:rPr>
        <w:t xml:space="preserve">Τραχειοτομή: </w:t>
      </w:r>
      <w:r w:rsidRPr="00BF0161">
        <w:rPr>
          <w:lang w:val="el-GR"/>
        </w:rPr>
        <w:t xml:space="preserve">Ήδη από την πρώτη χειρουργική επέμβαση ορισμένων ασθενών γίνεται τραχειοτομία με σκοπό την αντιμετώπιση των </w:t>
      </w:r>
      <w:proofErr w:type="spellStart"/>
      <w:r w:rsidRPr="00BF0161">
        <w:rPr>
          <w:lang w:val="el-GR"/>
        </w:rPr>
        <w:t>εισροφήσεων</w:t>
      </w:r>
      <w:proofErr w:type="spellEnd"/>
      <w:r w:rsidRPr="00BF0161">
        <w:rPr>
          <w:lang w:val="el-GR"/>
        </w:rPr>
        <w:t xml:space="preserve"> και την  προστασία της αναπνευστικής οδού. Υπάρχει όμως πιθανότητα, να προκαλέσει επιδείνωση της κατάποσης. Ωστόσο, είναι ωφέλιμο ασθενείς </w:t>
      </w:r>
      <w:r w:rsidRPr="00BF0161">
        <w:rPr>
          <w:lang w:val="el-GR"/>
        </w:rPr>
        <w:lastRenderedPageBreak/>
        <w:t xml:space="preserve">που </w:t>
      </w:r>
      <w:proofErr w:type="spellStart"/>
      <w:r w:rsidRPr="00BF0161">
        <w:rPr>
          <w:lang w:val="el-GR"/>
        </w:rPr>
        <w:t>εισροφούν</w:t>
      </w:r>
      <w:proofErr w:type="spellEnd"/>
      <w:r w:rsidRPr="00BF0161">
        <w:rPr>
          <w:lang w:val="el-GR"/>
        </w:rPr>
        <w:t>, να παραμένει το τραχειόστομα ακόμη και μετά την ολοκλήρωση μιας επιτυχημένης παρέμβασης (</w:t>
      </w:r>
      <w:proofErr w:type="spellStart"/>
      <w:r>
        <w:rPr>
          <w:lang w:val="en-US"/>
        </w:rPr>
        <w:t>Bigenzahn</w:t>
      </w:r>
      <w:proofErr w:type="spellEnd"/>
      <w:r w:rsidRPr="00BF0161">
        <w:rPr>
          <w:lang w:val="el-GR"/>
        </w:rPr>
        <w:t xml:space="preserve"> &amp; </w:t>
      </w:r>
      <w:proofErr w:type="spellStart"/>
      <w:r>
        <w:rPr>
          <w:lang w:val="en-US"/>
        </w:rPr>
        <w:t>Denk</w:t>
      </w:r>
      <w:proofErr w:type="spellEnd"/>
      <w:r w:rsidRPr="00BF0161">
        <w:rPr>
          <w:lang w:val="el-GR"/>
        </w:rPr>
        <w:t xml:space="preserve">, 2007). Στο 43-83% των ατόμων με τραχειοστομία μπορεί να προκληθεί πνευμονία λόγω </w:t>
      </w:r>
      <w:proofErr w:type="spellStart"/>
      <w:r w:rsidRPr="00BF0161">
        <w:rPr>
          <w:lang w:val="el-GR"/>
        </w:rPr>
        <w:t>εισρόφησης</w:t>
      </w:r>
      <w:proofErr w:type="spellEnd"/>
      <w:r w:rsidRPr="00BF0161">
        <w:rPr>
          <w:lang w:val="el-GR"/>
        </w:rPr>
        <w:t xml:space="preserve"> (</w:t>
      </w:r>
      <w:r>
        <w:rPr>
          <w:lang w:val="en-US"/>
        </w:rPr>
        <w:t>Murry</w:t>
      </w:r>
      <w:r w:rsidRPr="00BF0161">
        <w:rPr>
          <w:lang w:val="el-GR"/>
        </w:rPr>
        <w:t xml:space="preserve"> &amp; </w:t>
      </w:r>
      <w:proofErr w:type="spellStart"/>
      <w:r>
        <w:rPr>
          <w:lang w:val="en-US"/>
        </w:rPr>
        <w:t>Carrau</w:t>
      </w:r>
      <w:proofErr w:type="spellEnd"/>
      <w:r w:rsidRPr="00BF0161">
        <w:rPr>
          <w:lang w:val="el-GR"/>
        </w:rPr>
        <w:t xml:space="preserve">, 2014). </w:t>
      </w:r>
    </w:p>
    <w:p w14:paraId="6BFA133A" w14:textId="77777777" w:rsidR="003C1FD9" w:rsidRPr="00BF0161" w:rsidRDefault="003C1FD9">
      <w:pPr>
        <w:spacing w:after="120" w:line="360" w:lineRule="auto"/>
        <w:jc w:val="both"/>
        <w:rPr>
          <w:b/>
          <w:lang w:val="el-GR"/>
        </w:rPr>
      </w:pPr>
    </w:p>
    <w:p w14:paraId="73C07E32" w14:textId="4B2F78FF" w:rsidR="00146CE2" w:rsidRPr="00BF0161" w:rsidRDefault="00DB0AA3">
      <w:pPr>
        <w:spacing w:after="120" w:line="360" w:lineRule="auto"/>
        <w:jc w:val="both"/>
        <w:rPr>
          <w:lang w:val="el-GR"/>
        </w:rPr>
      </w:pPr>
      <w:r w:rsidRPr="00BF0161">
        <w:rPr>
          <w:b/>
          <w:lang w:val="el-GR"/>
        </w:rPr>
        <w:t xml:space="preserve">Λαρυγγεκτομή:  </w:t>
      </w:r>
      <w:r w:rsidRPr="00BF0161">
        <w:rPr>
          <w:lang w:val="el-GR"/>
        </w:rPr>
        <w:t>Η ολική λαρυγγεκτομή είναι η πλήρης αφαίρεση του λάρυγγα μέσω χειρουργικής επέμβασης. Η πεπτική και αναπνευστική οδός με την ολοκλήρωση του χειρουργείου διαχωρίζονται πλέον μόνιμα. Παρόλα αυτά, ο κίνδυνος επιπλοκών στην κατάποση παραμένει (</w:t>
      </w:r>
      <w:proofErr w:type="spellStart"/>
      <w:r>
        <w:rPr>
          <w:lang w:val="en-US"/>
        </w:rPr>
        <w:t>Groher</w:t>
      </w:r>
      <w:proofErr w:type="spellEnd"/>
      <w:r w:rsidRPr="00BF0161">
        <w:rPr>
          <w:lang w:val="el-GR"/>
        </w:rPr>
        <w:t xml:space="preserve">, 1997). Οι αισθήσεις της γεύσης και της όσφρησης συχνά αλλοιώνονται, με αποτέλεσμα την απώλεια επιθυμίας για φαγητό. Ακόμη , επηρεάζεται η κινητικότητα κατά την κατάποση, γεγονός που οδηγεί σε δυσκολίες στην προετοιμασία του βλωμού και εμφάνιση συριγγίων. Όλα τα παραπάνω ευθύνονται για </w:t>
      </w:r>
      <w:proofErr w:type="spellStart"/>
      <w:r w:rsidRPr="00BF0161">
        <w:rPr>
          <w:lang w:val="el-GR"/>
        </w:rPr>
        <w:t>εισροφήσεις</w:t>
      </w:r>
      <w:proofErr w:type="spellEnd"/>
      <w:r w:rsidRPr="00BF0161">
        <w:rPr>
          <w:lang w:val="el-GR"/>
        </w:rPr>
        <w:t xml:space="preserve">, δυσκολία μεταφοράς του βλωμού και λιμνάζουσες τροφές. Πλέον, η μετακίνηση του βλωμού βασίζεται στην προώθηση από τη γλώσσα και τη βαρύτητα. Επιπρόσθετα, μπορεί να προκληθεί στένωση στις </w:t>
      </w:r>
      <w:r w:rsidRPr="00BF0161">
        <w:rPr>
          <w:lang w:val="el-GR"/>
        </w:rPr>
        <w:lastRenderedPageBreak/>
        <w:t xml:space="preserve">δομές του φάρυγγα ή του άνω τμήματος του οισοφάγου, εξαιτίας των πολυάριθμων </w:t>
      </w:r>
      <w:proofErr w:type="spellStart"/>
      <w:r w:rsidRPr="00BF0161">
        <w:rPr>
          <w:lang w:val="el-GR"/>
        </w:rPr>
        <w:t>εκτομών</w:t>
      </w:r>
      <w:proofErr w:type="spellEnd"/>
      <w:r w:rsidRPr="00BF0161">
        <w:rPr>
          <w:lang w:val="el-GR"/>
        </w:rPr>
        <w:t xml:space="preserve"> ή και της </w:t>
      </w:r>
      <w:proofErr w:type="spellStart"/>
      <w:r w:rsidRPr="00BF0161">
        <w:rPr>
          <w:lang w:val="el-GR"/>
        </w:rPr>
        <w:t>επανασύνταξης</w:t>
      </w:r>
      <w:proofErr w:type="spellEnd"/>
      <w:r w:rsidRPr="00BF0161">
        <w:rPr>
          <w:lang w:val="el-GR"/>
        </w:rPr>
        <w:t xml:space="preserve"> των ιστών που έχουν πληγεί (</w:t>
      </w:r>
      <w:r>
        <w:rPr>
          <w:lang w:val="en-US"/>
        </w:rPr>
        <w:t>Corbin</w:t>
      </w:r>
      <w:r w:rsidRPr="00BF0161">
        <w:rPr>
          <w:lang w:val="el-GR"/>
        </w:rPr>
        <w:t xml:space="preserve">- </w:t>
      </w:r>
      <w:r>
        <w:rPr>
          <w:lang w:val="en-US"/>
        </w:rPr>
        <w:t>Lewis</w:t>
      </w:r>
      <w:r w:rsidRPr="00BF0161">
        <w:rPr>
          <w:lang w:val="el-GR"/>
        </w:rPr>
        <w:t xml:space="preserve">, </w:t>
      </w:r>
      <w:proofErr w:type="spellStart"/>
      <w:r>
        <w:rPr>
          <w:lang w:val="en-US"/>
        </w:rPr>
        <w:t>Liss</w:t>
      </w:r>
      <w:proofErr w:type="spellEnd"/>
      <w:r w:rsidRPr="00BF0161">
        <w:rPr>
          <w:lang w:val="el-GR"/>
        </w:rPr>
        <w:t xml:space="preserve"> &amp; </w:t>
      </w:r>
      <w:proofErr w:type="spellStart"/>
      <w:r>
        <w:rPr>
          <w:lang w:val="en-US"/>
        </w:rPr>
        <w:t>Sciortino</w:t>
      </w:r>
      <w:proofErr w:type="spellEnd"/>
      <w:r w:rsidRPr="00BF0161">
        <w:rPr>
          <w:lang w:val="el-GR"/>
        </w:rPr>
        <w:t>, 2004).</w:t>
      </w:r>
    </w:p>
    <w:p w14:paraId="3AB6342F" w14:textId="77777777" w:rsidR="003C1FD9" w:rsidRPr="00BF0161" w:rsidRDefault="003C1FD9">
      <w:pPr>
        <w:spacing w:after="120" w:line="360" w:lineRule="auto"/>
        <w:jc w:val="both"/>
        <w:rPr>
          <w:b/>
          <w:lang w:val="el-GR"/>
        </w:rPr>
      </w:pPr>
    </w:p>
    <w:p w14:paraId="7AFCB7D4" w14:textId="77777777" w:rsidR="00146CE2" w:rsidRDefault="00DB0AA3">
      <w:pPr>
        <w:spacing w:after="120" w:line="360" w:lineRule="auto"/>
        <w:jc w:val="both"/>
        <w:rPr>
          <w:lang w:val="el-GR"/>
        </w:rPr>
      </w:pPr>
      <w:r w:rsidRPr="00BF0161">
        <w:rPr>
          <w:b/>
          <w:lang w:val="el-GR"/>
        </w:rPr>
        <w:t>Ακτινοθεραπεία:</w:t>
      </w:r>
      <w:r w:rsidRPr="00BF0161">
        <w:rPr>
          <w:lang w:val="el-GR"/>
        </w:rPr>
        <w:t xml:space="preserve"> Η ακτινοθεραπεία είναι ένας τρόπος αντιμετώπισης καρκινωμάτων. Μπορεί να εφαρμοστεί μόνη της, σε συνδυασμό με χημειοθεραπεία ή με χειρουργική επέμβαση, πριν ή μετά από αυτήν (</w:t>
      </w:r>
      <w:r>
        <w:rPr>
          <w:lang w:val="en-US"/>
        </w:rPr>
        <w:t>Corbin</w:t>
      </w:r>
      <w:r w:rsidRPr="00BF0161">
        <w:rPr>
          <w:lang w:val="el-GR"/>
        </w:rPr>
        <w:t xml:space="preserve">- </w:t>
      </w:r>
      <w:r>
        <w:rPr>
          <w:lang w:val="en-US"/>
        </w:rPr>
        <w:t>Lewis</w:t>
      </w:r>
      <w:r w:rsidRPr="00BF0161">
        <w:rPr>
          <w:lang w:val="el-GR"/>
        </w:rPr>
        <w:t xml:space="preserve">, </w:t>
      </w:r>
      <w:proofErr w:type="spellStart"/>
      <w:r>
        <w:rPr>
          <w:lang w:val="en-US"/>
        </w:rPr>
        <w:t>Liss</w:t>
      </w:r>
      <w:proofErr w:type="spellEnd"/>
      <w:r w:rsidRPr="00BF0161">
        <w:rPr>
          <w:lang w:val="el-GR"/>
        </w:rPr>
        <w:t xml:space="preserve"> &amp; </w:t>
      </w:r>
      <w:proofErr w:type="spellStart"/>
      <w:r>
        <w:rPr>
          <w:lang w:val="en-US"/>
        </w:rPr>
        <w:t>Sciortino</w:t>
      </w:r>
      <w:proofErr w:type="spellEnd"/>
      <w:r w:rsidRPr="00BF0161">
        <w:rPr>
          <w:lang w:val="el-GR"/>
        </w:rPr>
        <w:t>, 2004).  Η δυσφαγία είναι απόρροια της ακτινοθεραπείας για καρκίνους που εντοπίζονται στην ανώτερη αναπνευστική και πεπτική οδό, καθώς και στις περιοχές κεφαλής και τραχήλου. Η συμπτωματολογία της μπορεί να διακριθεί σε οξεία και μεταγενέστερη (</w:t>
      </w:r>
      <w:r>
        <w:rPr>
          <w:lang w:val="en-US"/>
        </w:rPr>
        <w:t>Murry</w:t>
      </w:r>
      <w:r w:rsidRPr="00BF0161">
        <w:rPr>
          <w:lang w:val="el-GR"/>
        </w:rPr>
        <w:t xml:space="preserve"> &amp; </w:t>
      </w:r>
      <w:proofErr w:type="spellStart"/>
      <w:r>
        <w:rPr>
          <w:lang w:val="en-US"/>
        </w:rPr>
        <w:t>Carrau</w:t>
      </w:r>
      <w:proofErr w:type="spellEnd"/>
      <w:r w:rsidRPr="00BF0161">
        <w:rPr>
          <w:lang w:val="el-GR"/>
        </w:rPr>
        <w:t>, 2014). Το ποσοστό εμφάνισης της ανέρχεται σε 40% και εντοπίζονται κινητικές διαταραχές στο στοματικό και φαρυγγικό στάδιο (</w:t>
      </w:r>
      <w:proofErr w:type="spellStart"/>
      <w:r>
        <w:rPr>
          <w:lang w:val="en-US"/>
        </w:rPr>
        <w:t>Bigenzahn</w:t>
      </w:r>
      <w:proofErr w:type="spellEnd"/>
      <w:r w:rsidRPr="00BF0161">
        <w:rPr>
          <w:lang w:val="el-GR"/>
        </w:rPr>
        <w:t xml:space="preserve"> &amp; </w:t>
      </w:r>
      <w:proofErr w:type="spellStart"/>
      <w:r>
        <w:rPr>
          <w:lang w:val="en-US"/>
        </w:rPr>
        <w:t>Denk</w:t>
      </w:r>
      <w:proofErr w:type="spellEnd"/>
      <w:r w:rsidRPr="00BF0161">
        <w:rPr>
          <w:lang w:val="el-GR"/>
        </w:rPr>
        <w:t xml:space="preserve">, 2007). Οι ακτινοθεραπείες σε καρκίνους κεφαλής και τραχήλου έχουν άμεσο και μακροπρόθεσμο αντίκτυπο στη κατάποση, εξαιτίας της ξηροστομίας, νέκρωσης των ιστών, οιδήματος, αισθητηριακών αλλαγών και </w:t>
      </w:r>
      <w:proofErr w:type="spellStart"/>
      <w:r w:rsidRPr="00BF0161">
        <w:rPr>
          <w:lang w:val="el-GR"/>
        </w:rPr>
        <w:t>ιστικής</w:t>
      </w:r>
      <w:proofErr w:type="spellEnd"/>
      <w:r w:rsidRPr="00BF0161">
        <w:rPr>
          <w:lang w:val="el-GR"/>
        </w:rPr>
        <w:t xml:space="preserve"> </w:t>
      </w:r>
      <w:proofErr w:type="spellStart"/>
      <w:r w:rsidRPr="00BF0161">
        <w:rPr>
          <w:lang w:val="el-GR"/>
        </w:rPr>
        <w:t>ίνωσης</w:t>
      </w:r>
      <w:proofErr w:type="spellEnd"/>
      <w:r w:rsidRPr="00BF0161">
        <w:rPr>
          <w:lang w:val="el-GR"/>
        </w:rPr>
        <w:t xml:space="preserve">. Η μείωση του σιέλου έχει ως αποτέλεσμα δυσκολία μεταφοράς του βλωμού, δυσχέρεια κατά την μάσηση και τη κατάποση, αύξηση </w:t>
      </w:r>
      <w:r w:rsidRPr="00BF0161">
        <w:rPr>
          <w:lang w:val="el-GR"/>
        </w:rPr>
        <w:lastRenderedPageBreak/>
        <w:t>των στοματικών μολύνσεων και επιδείνωση της στοματικής υγιεινής (</w:t>
      </w:r>
      <w:r>
        <w:rPr>
          <w:lang w:val="en-US"/>
        </w:rPr>
        <w:t>Corbin</w:t>
      </w:r>
      <w:r w:rsidRPr="00BF0161">
        <w:rPr>
          <w:lang w:val="el-GR"/>
        </w:rPr>
        <w:t xml:space="preserve">- </w:t>
      </w:r>
      <w:r>
        <w:rPr>
          <w:lang w:val="en-US"/>
        </w:rPr>
        <w:t>Lewis</w:t>
      </w:r>
      <w:r w:rsidRPr="00BF0161">
        <w:rPr>
          <w:lang w:val="el-GR"/>
        </w:rPr>
        <w:t xml:space="preserve">, </w:t>
      </w:r>
      <w:proofErr w:type="spellStart"/>
      <w:r>
        <w:rPr>
          <w:lang w:val="en-US"/>
        </w:rPr>
        <w:t>Liss</w:t>
      </w:r>
      <w:proofErr w:type="spellEnd"/>
      <w:r w:rsidRPr="00BF0161">
        <w:rPr>
          <w:lang w:val="el-GR"/>
        </w:rPr>
        <w:t xml:space="preserve"> &amp; </w:t>
      </w:r>
      <w:proofErr w:type="spellStart"/>
      <w:r>
        <w:rPr>
          <w:lang w:val="en-US"/>
        </w:rPr>
        <w:t>Sciortino</w:t>
      </w:r>
      <w:proofErr w:type="spellEnd"/>
      <w:r w:rsidRPr="00BF0161">
        <w:rPr>
          <w:lang w:val="el-GR"/>
        </w:rPr>
        <w:t xml:space="preserve">, 2004). Ο </w:t>
      </w:r>
      <w:proofErr w:type="spellStart"/>
      <w:r>
        <w:rPr>
          <w:lang w:val="en-US"/>
        </w:rPr>
        <w:t>Groher</w:t>
      </w:r>
      <w:proofErr w:type="spellEnd"/>
      <w:r w:rsidRPr="00BF0161">
        <w:rPr>
          <w:lang w:val="el-GR"/>
        </w:rPr>
        <w:t xml:space="preserve"> (1997) σημειώνει ότι δε βιώνουν όλοι οι ασθενείς τα παραπάνω συμπτώματα, αλλά είναι σοβαρά και με μεγάλη διάρκεια όταν εμφανίζονται.</w:t>
      </w:r>
    </w:p>
    <w:p w14:paraId="4C25282A" w14:textId="77777777" w:rsidR="000C045A" w:rsidRPr="00BF0161" w:rsidRDefault="000C045A">
      <w:pPr>
        <w:spacing w:after="120" w:line="360" w:lineRule="auto"/>
        <w:jc w:val="both"/>
        <w:rPr>
          <w:lang w:val="el-GR"/>
        </w:rPr>
      </w:pPr>
    </w:p>
    <w:p w14:paraId="4882BFAE" w14:textId="77777777" w:rsidR="00146CE2" w:rsidRPr="00BF0161" w:rsidRDefault="00DB0AA3">
      <w:pPr>
        <w:spacing w:after="120" w:line="360" w:lineRule="auto"/>
        <w:jc w:val="both"/>
        <w:rPr>
          <w:lang w:val="el-GR"/>
        </w:rPr>
      </w:pPr>
      <w:proofErr w:type="spellStart"/>
      <w:r w:rsidRPr="00BF0161">
        <w:rPr>
          <w:b/>
          <w:lang w:val="el-GR"/>
        </w:rPr>
        <w:t>Τραχειοοισοφαγικό</w:t>
      </w:r>
      <w:proofErr w:type="spellEnd"/>
      <w:r w:rsidRPr="00BF0161">
        <w:rPr>
          <w:b/>
          <w:lang w:val="el-GR"/>
        </w:rPr>
        <w:t xml:space="preserve"> συρίγγιο: </w:t>
      </w:r>
      <w:r w:rsidRPr="00BF0161">
        <w:rPr>
          <w:lang w:val="el-GR"/>
        </w:rPr>
        <w:t xml:space="preserve">Τα </w:t>
      </w:r>
      <w:proofErr w:type="spellStart"/>
      <w:r w:rsidRPr="00BF0161">
        <w:rPr>
          <w:lang w:val="el-GR"/>
        </w:rPr>
        <w:t>τραχειοοισοφαγικά</w:t>
      </w:r>
      <w:proofErr w:type="spellEnd"/>
      <w:r w:rsidRPr="00BF0161">
        <w:rPr>
          <w:lang w:val="el-GR"/>
        </w:rPr>
        <w:t xml:space="preserve"> συρίγγια δημιουργούνται από τη στιγμή της </w:t>
      </w:r>
      <w:proofErr w:type="spellStart"/>
      <w:r w:rsidRPr="00BF0161">
        <w:rPr>
          <w:lang w:val="el-GR"/>
        </w:rPr>
        <w:t>λαρυγγεκτομής</w:t>
      </w:r>
      <w:proofErr w:type="spellEnd"/>
      <w:r w:rsidRPr="00BF0161">
        <w:rPr>
          <w:lang w:val="el-GR"/>
        </w:rPr>
        <w:t xml:space="preserve"> και έπειτα. Τα συρίγγια αυτά αποτελούν μια εναλλακτική μέθοδο παραγωγής φωνής εν μέσω μιας προσθετικής βαλβίδας, αλλά παρ’ όλα αυτά μπορούν να επηρεάσουν την κατάποση (</w:t>
      </w:r>
      <w:proofErr w:type="spellStart"/>
      <w:r w:rsidRPr="00BF0161">
        <w:rPr>
          <w:lang w:val="el-GR"/>
        </w:rPr>
        <w:t>π.χ</w:t>
      </w:r>
      <w:proofErr w:type="spellEnd"/>
      <w:r w:rsidRPr="00BF0161">
        <w:rPr>
          <w:lang w:val="el-GR"/>
        </w:rPr>
        <w:t xml:space="preserve"> εισρόφηση ή διαφυγή) (</w:t>
      </w:r>
      <w:proofErr w:type="spellStart"/>
      <w:r>
        <w:rPr>
          <w:lang w:val="en-US"/>
        </w:rPr>
        <w:t>Groher</w:t>
      </w:r>
      <w:proofErr w:type="spellEnd"/>
      <w:r w:rsidRPr="00BF0161">
        <w:rPr>
          <w:lang w:val="el-GR"/>
        </w:rPr>
        <w:t>, 1997).</w:t>
      </w:r>
    </w:p>
    <w:p w14:paraId="5B0049AE" w14:textId="77777777" w:rsidR="003C1FD9" w:rsidRPr="00BF0161" w:rsidRDefault="003C1FD9">
      <w:pPr>
        <w:spacing w:after="120" w:line="360" w:lineRule="auto"/>
        <w:jc w:val="both"/>
        <w:rPr>
          <w:b/>
          <w:lang w:val="el-GR"/>
        </w:rPr>
      </w:pPr>
    </w:p>
    <w:p w14:paraId="35177F63" w14:textId="77777777" w:rsidR="00146CE2" w:rsidRPr="00BF0161" w:rsidRDefault="00DB0AA3">
      <w:pPr>
        <w:spacing w:after="120" w:line="360" w:lineRule="auto"/>
        <w:jc w:val="both"/>
        <w:rPr>
          <w:lang w:val="el-GR"/>
        </w:rPr>
      </w:pPr>
      <w:r w:rsidRPr="00BF0161">
        <w:rPr>
          <w:b/>
          <w:lang w:val="el-GR"/>
        </w:rPr>
        <w:t xml:space="preserve">Τραύματα: </w:t>
      </w:r>
      <w:r w:rsidRPr="00BF0161">
        <w:rPr>
          <w:lang w:val="el-GR"/>
        </w:rPr>
        <w:t xml:space="preserve">Τραύματα στην </w:t>
      </w:r>
      <w:proofErr w:type="spellStart"/>
      <w:r w:rsidRPr="00BF0161">
        <w:rPr>
          <w:lang w:val="el-GR"/>
        </w:rPr>
        <w:t>στοματοφαρυγγική</w:t>
      </w:r>
      <w:proofErr w:type="spellEnd"/>
      <w:r w:rsidRPr="00BF0161">
        <w:rPr>
          <w:lang w:val="el-GR"/>
        </w:rPr>
        <w:t xml:space="preserve"> κοιλότητα και στον οισοφάγο σπάνια προκαλούν δυσφαγία σοβαρής φύσεως. Ωστόσο, ερεθισμοί από την έντονη πλύση των δοντιών, οδοντοστοιχίες κακής εφαρμογής, πληγές στα χείλη και στο εσωτερικό των παρειών, λόγω δαγκώματος, είναι αίτια σοβαρής δυσφαγίας (</w:t>
      </w:r>
      <w:proofErr w:type="spellStart"/>
      <w:r>
        <w:rPr>
          <w:lang w:val="en-US"/>
        </w:rPr>
        <w:t>Groher</w:t>
      </w:r>
      <w:proofErr w:type="spellEnd"/>
      <w:r w:rsidRPr="00BF0161">
        <w:rPr>
          <w:lang w:val="el-GR"/>
        </w:rPr>
        <w:t>, 1997). Επιπλέον, άλλα τραύματα μπο</w:t>
      </w:r>
      <w:r w:rsidRPr="00BF0161">
        <w:rPr>
          <w:lang w:val="el-GR"/>
        </w:rPr>
        <w:lastRenderedPageBreak/>
        <w:t>ρεί να είναι αποτέλεσμα πυροβολισμών, τροχαίων ατυχημάτων και πτώσεων. Ο βαθμός δυσφαγίας εξαρτάται από την έκταση των τραυμάτων (</w:t>
      </w:r>
      <w:r>
        <w:rPr>
          <w:lang w:val="en-US"/>
        </w:rPr>
        <w:t>Corbin</w:t>
      </w:r>
      <w:r w:rsidRPr="00BF0161">
        <w:rPr>
          <w:lang w:val="el-GR"/>
        </w:rPr>
        <w:t xml:space="preserve">- </w:t>
      </w:r>
      <w:r>
        <w:rPr>
          <w:lang w:val="en-US"/>
        </w:rPr>
        <w:t>Lewis</w:t>
      </w:r>
      <w:r w:rsidRPr="00BF0161">
        <w:rPr>
          <w:lang w:val="el-GR"/>
        </w:rPr>
        <w:t xml:space="preserve">, </w:t>
      </w:r>
      <w:proofErr w:type="spellStart"/>
      <w:r>
        <w:rPr>
          <w:lang w:val="en-US"/>
        </w:rPr>
        <w:t>Liss</w:t>
      </w:r>
      <w:proofErr w:type="spellEnd"/>
      <w:r w:rsidRPr="00BF0161">
        <w:rPr>
          <w:lang w:val="el-GR"/>
        </w:rPr>
        <w:t xml:space="preserve"> &amp; </w:t>
      </w:r>
      <w:proofErr w:type="spellStart"/>
      <w:r>
        <w:rPr>
          <w:lang w:val="en-US"/>
        </w:rPr>
        <w:t>Sciortino</w:t>
      </w:r>
      <w:proofErr w:type="spellEnd"/>
      <w:r w:rsidRPr="00BF0161">
        <w:rPr>
          <w:lang w:val="el-GR"/>
        </w:rPr>
        <w:t>, 2004).</w:t>
      </w:r>
    </w:p>
    <w:p w14:paraId="617ED75F" w14:textId="77777777" w:rsidR="003C1FD9" w:rsidRPr="00BF0161" w:rsidRDefault="003C1FD9">
      <w:pPr>
        <w:spacing w:after="120" w:line="360" w:lineRule="auto"/>
        <w:jc w:val="both"/>
        <w:rPr>
          <w:b/>
          <w:lang w:val="el-GR"/>
        </w:rPr>
      </w:pPr>
    </w:p>
    <w:p w14:paraId="5A19529E" w14:textId="77777777" w:rsidR="00146CE2" w:rsidRPr="00BF0161" w:rsidRDefault="00DB0AA3">
      <w:pPr>
        <w:spacing w:after="120" w:line="360" w:lineRule="auto"/>
        <w:jc w:val="both"/>
        <w:rPr>
          <w:lang w:val="el-GR"/>
        </w:rPr>
      </w:pPr>
      <w:proofErr w:type="spellStart"/>
      <w:r w:rsidRPr="00BF0161">
        <w:rPr>
          <w:b/>
          <w:lang w:val="el-GR"/>
        </w:rPr>
        <w:t>Χειλεο-γναθο-υπερωϊοσχιστία</w:t>
      </w:r>
      <w:proofErr w:type="spellEnd"/>
      <w:r w:rsidRPr="00BF0161">
        <w:rPr>
          <w:b/>
          <w:lang w:val="el-GR"/>
        </w:rPr>
        <w:t xml:space="preserve">: </w:t>
      </w:r>
      <w:r>
        <w:rPr>
          <w:lang w:val="en-US"/>
        </w:rPr>
        <w:t>O</w:t>
      </w:r>
      <w:r w:rsidRPr="00BF0161">
        <w:rPr>
          <w:lang w:val="el-GR"/>
        </w:rPr>
        <w:t xml:space="preserve"> </w:t>
      </w:r>
      <w:proofErr w:type="spellStart"/>
      <w:r>
        <w:rPr>
          <w:lang w:val="en-US"/>
        </w:rPr>
        <w:t>Kummer</w:t>
      </w:r>
      <w:proofErr w:type="spellEnd"/>
      <w:r w:rsidRPr="00BF0161">
        <w:rPr>
          <w:lang w:val="el-GR"/>
        </w:rPr>
        <w:t xml:space="preserve"> (2011) διατυπώνει την έννοια της </w:t>
      </w:r>
      <w:proofErr w:type="spellStart"/>
      <w:r w:rsidRPr="00BF0161">
        <w:rPr>
          <w:lang w:val="el-GR"/>
        </w:rPr>
        <w:t>σχιστίας</w:t>
      </w:r>
      <w:proofErr w:type="spellEnd"/>
      <w:r w:rsidRPr="00BF0161">
        <w:rPr>
          <w:lang w:val="el-GR"/>
        </w:rPr>
        <w:t xml:space="preserve"> ως «</w:t>
      </w:r>
      <w:r w:rsidRPr="00BF0161">
        <w:rPr>
          <w:i/>
          <w:lang w:val="el-GR"/>
        </w:rPr>
        <w:t>ένα μη φυσιολογικό άνοιγμα ή μία σχισμή σε μία ανατομική δομή η οποία φυσιολογικά είναι κλειστή</w:t>
      </w:r>
      <w:r w:rsidRPr="00BF0161">
        <w:rPr>
          <w:lang w:val="el-GR"/>
        </w:rPr>
        <w:t xml:space="preserve">». Η </w:t>
      </w:r>
      <w:proofErr w:type="spellStart"/>
      <w:r w:rsidRPr="00BF0161">
        <w:rPr>
          <w:lang w:val="el-GR"/>
        </w:rPr>
        <w:t>χειλεοσχιστία</w:t>
      </w:r>
      <w:proofErr w:type="spellEnd"/>
      <w:r w:rsidRPr="00BF0161">
        <w:rPr>
          <w:lang w:val="el-GR"/>
        </w:rPr>
        <w:t xml:space="preserve"> είναι η αδυναμία συνένωσης των μυών της </w:t>
      </w:r>
      <w:proofErr w:type="spellStart"/>
      <w:r w:rsidRPr="00BF0161">
        <w:rPr>
          <w:lang w:val="el-GR"/>
        </w:rPr>
        <w:t>ρινός</w:t>
      </w:r>
      <w:proofErr w:type="spellEnd"/>
      <w:r w:rsidRPr="00BF0161">
        <w:rPr>
          <w:lang w:val="el-GR"/>
        </w:rPr>
        <w:t xml:space="preserve"> και των </w:t>
      </w:r>
      <w:proofErr w:type="spellStart"/>
      <w:r w:rsidRPr="00BF0161">
        <w:rPr>
          <w:lang w:val="el-GR"/>
        </w:rPr>
        <w:t>χειλέων</w:t>
      </w:r>
      <w:proofErr w:type="spellEnd"/>
      <w:r w:rsidRPr="00BF0161">
        <w:rPr>
          <w:lang w:val="el-GR"/>
        </w:rPr>
        <w:t xml:space="preserve">, ενώ η </w:t>
      </w:r>
      <w:proofErr w:type="spellStart"/>
      <w:r w:rsidRPr="00BF0161">
        <w:rPr>
          <w:lang w:val="el-GR"/>
        </w:rPr>
        <w:t>υπερωϊοσχιστία</w:t>
      </w:r>
      <w:proofErr w:type="spellEnd"/>
      <w:r w:rsidRPr="00BF0161">
        <w:rPr>
          <w:lang w:val="el-GR"/>
        </w:rPr>
        <w:t xml:space="preserve"> είναι η σχισμή της υπερώας (σκληρής ή μαλθακής) μεταξύ της στοματικής και ρινικής κοιλότητας. Είναι σημαντικό να σημειωθεί ότι, οι ασθενείς παρουσιάζουν διαταραχές κατάποσης, λόγω ελλιπούς πίεσης στο </w:t>
      </w:r>
      <w:proofErr w:type="spellStart"/>
      <w:r w:rsidRPr="00BF0161">
        <w:rPr>
          <w:lang w:val="el-GR"/>
        </w:rPr>
        <w:t>στοματοφάρυγγα</w:t>
      </w:r>
      <w:proofErr w:type="spellEnd"/>
      <w:r w:rsidRPr="00BF0161">
        <w:rPr>
          <w:lang w:val="el-GR"/>
        </w:rPr>
        <w:t xml:space="preserve">, οδηγώντας σε </w:t>
      </w:r>
      <w:proofErr w:type="spellStart"/>
      <w:r w:rsidRPr="00BF0161">
        <w:rPr>
          <w:lang w:val="el-GR"/>
        </w:rPr>
        <w:t>ανάρροια</w:t>
      </w:r>
      <w:proofErr w:type="spellEnd"/>
      <w:r w:rsidRPr="00BF0161">
        <w:rPr>
          <w:lang w:val="el-GR"/>
        </w:rPr>
        <w:t xml:space="preserve"> τροφών από τη μύτη ή σε </w:t>
      </w:r>
      <w:proofErr w:type="spellStart"/>
      <w:r w:rsidRPr="00BF0161">
        <w:rPr>
          <w:lang w:val="el-GR"/>
        </w:rPr>
        <w:t>εισροφήσεις</w:t>
      </w:r>
      <w:proofErr w:type="spellEnd"/>
      <w:r w:rsidRPr="00BF0161">
        <w:rPr>
          <w:lang w:val="el-GR"/>
        </w:rPr>
        <w:t xml:space="preserve"> (</w:t>
      </w:r>
      <w:proofErr w:type="spellStart"/>
      <w:r w:rsidRPr="00BF0161">
        <w:rPr>
          <w:lang w:val="el-GR"/>
        </w:rPr>
        <w:t>Ζιάβρα</w:t>
      </w:r>
      <w:proofErr w:type="spellEnd"/>
      <w:r w:rsidRPr="00BF0161">
        <w:rPr>
          <w:lang w:val="el-GR"/>
        </w:rPr>
        <w:t xml:space="preserve"> &amp; Σκεύας, 2009)</w:t>
      </w:r>
    </w:p>
    <w:p w14:paraId="188361F3" w14:textId="77777777" w:rsidR="003C1FD9" w:rsidRPr="00BF0161" w:rsidRDefault="003C1FD9">
      <w:pPr>
        <w:spacing w:after="120" w:line="360" w:lineRule="auto"/>
        <w:jc w:val="both"/>
        <w:rPr>
          <w:b/>
          <w:lang w:val="el-GR"/>
        </w:rPr>
      </w:pPr>
    </w:p>
    <w:p w14:paraId="035165FF" w14:textId="77777777" w:rsidR="00146CE2" w:rsidRPr="00BF0161" w:rsidRDefault="00DB0AA3">
      <w:pPr>
        <w:spacing w:after="120" w:line="360" w:lineRule="auto"/>
        <w:jc w:val="both"/>
        <w:rPr>
          <w:lang w:val="el-GR"/>
        </w:rPr>
      </w:pPr>
      <w:r w:rsidRPr="00BF0161">
        <w:rPr>
          <w:b/>
          <w:lang w:val="el-GR"/>
        </w:rPr>
        <w:t xml:space="preserve">Χειρουργικές επεμβάσεις: </w:t>
      </w:r>
      <w:r w:rsidRPr="00BF0161">
        <w:rPr>
          <w:lang w:val="el-GR"/>
        </w:rPr>
        <w:t xml:space="preserve">Είναι σύνηθες φαινόμενο σε άτομα που έχουν υποστεί χειρουργική επέμβαση για την αντιμετώπιση νεοπλασμάτων, είτε στη περιοχή της κεφαλής ή του τραχήλου είτε στην ανώτερη αναπνευστική </w:t>
      </w:r>
      <w:r w:rsidRPr="00BF0161">
        <w:rPr>
          <w:lang w:val="el-GR"/>
        </w:rPr>
        <w:lastRenderedPageBreak/>
        <w:t>και πεπτική οδό, να εκδηλώνουν μετεγχειρητικά προβλήματα στην κατάποση. Σε αυτές τις περιπτώσεις, η δυσφαγία μπορεί να διαρκεί για μικρό ή μεγάλο χρονικό διάστημα και να εντοπιστεί σε οποιοδήποτε στάδιο  (</w:t>
      </w:r>
      <w:r>
        <w:rPr>
          <w:lang w:val="en-US"/>
        </w:rPr>
        <w:t>Murry</w:t>
      </w:r>
      <w:r w:rsidRPr="00BF0161">
        <w:rPr>
          <w:lang w:val="el-GR"/>
        </w:rPr>
        <w:t xml:space="preserve"> &amp; </w:t>
      </w:r>
      <w:proofErr w:type="spellStart"/>
      <w:r>
        <w:rPr>
          <w:lang w:val="en-US"/>
        </w:rPr>
        <w:t>Carrau</w:t>
      </w:r>
      <w:proofErr w:type="spellEnd"/>
      <w:r w:rsidRPr="00BF0161">
        <w:rPr>
          <w:lang w:val="el-GR"/>
        </w:rPr>
        <w:t>, 2014).</w:t>
      </w:r>
    </w:p>
    <w:p w14:paraId="64C29C62" w14:textId="77777777" w:rsidR="00146CE2" w:rsidRDefault="00DB0AA3">
      <w:pPr>
        <w:spacing w:after="120" w:line="360" w:lineRule="auto"/>
        <w:jc w:val="both"/>
        <w:rPr>
          <w:lang w:val="el-GR"/>
        </w:rPr>
      </w:pPr>
      <w:r w:rsidRPr="00BF0161">
        <w:rPr>
          <w:lang w:val="el-GR"/>
        </w:rPr>
        <w:t xml:space="preserve">Άλλες χειρουργικές επεμβάσεις, οι οποίες είναι υπεύθυνες για την εκδήλωση δυσκολιών στην κατάποση είναι οι εξής: χειρουργική πρόσθιας αυχενικής σπονδυλικής μοίρας, χειρουργική εδάφους της στοματικής κοιλότητας, χειρουργική υπερώας, χειρουργική χειλιών, χειρουργική κάτω γνάθου, χειρουργική </w:t>
      </w:r>
      <w:proofErr w:type="spellStart"/>
      <w:r w:rsidRPr="00BF0161">
        <w:rPr>
          <w:lang w:val="el-GR"/>
        </w:rPr>
        <w:t>στοματοφάρυγγα</w:t>
      </w:r>
      <w:proofErr w:type="spellEnd"/>
      <w:r w:rsidRPr="00BF0161">
        <w:rPr>
          <w:lang w:val="el-GR"/>
        </w:rPr>
        <w:t xml:space="preserve">, χειρουργική </w:t>
      </w:r>
      <w:proofErr w:type="spellStart"/>
      <w:r w:rsidRPr="00BF0161">
        <w:rPr>
          <w:lang w:val="el-GR"/>
        </w:rPr>
        <w:t>υποφάρυγγα</w:t>
      </w:r>
      <w:proofErr w:type="spellEnd"/>
      <w:r w:rsidRPr="00BF0161">
        <w:rPr>
          <w:lang w:val="el-GR"/>
        </w:rPr>
        <w:t xml:space="preserve"> και χειρουργική βάσης κρανίου  (</w:t>
      </w:r>
      <w:r>
        <w:rPr>
          <w:lang w:val="en-US"/>
        </w:rPr>
        <w:t>Murry</w:t>
      </w:r>
      <w:r w:rsidRPr="00BF0161">
        <w:rPr>
          <w:lang w:val="el-GR"/>
        </w:rPr>
        <w:t xml:space="preserve"> &amp; </w:t>
      </w:r>
      <w:proofErr w:type="spellStart"/>
      <w:r>
        <w:rPr>
          <w:lang w:val="en-US"/>
        </w:rPr>
        <w:t>Carrau</w:t>
      </w:r>
      <w:proofErr w:type="spellEnd"/>
      <w:r w:rsidRPr="00BF0161">
        <w:rPr>
          <w:lang w:val="el-GR"/>
        </w:rPr>
        <w:t>, 2014).</w:t>
      </w:r>
    </w:p>
    <w:p w14:paraId="18F65703" w14:textId="77777777" w:rsidR="000C045A" w:rsidRPr="00BF0161" w:rsidRDefault="000C045A">
      <w:pPr>
        <w:spacing w:after="120" w:line="360" w:lineRule="auto"/>
        <w:jc w:val="both"/>
        <w:rPr>
          <w:lang w:val="el-GR"/>
        </w:rPr>
      </w:pPr>
    </w:p>
    <w:p w14:paraId="3D74DECA" w14:textId="2FF88FAC" w:rsidR="00146CE2" w:rsidRPr="00BF0161" w:rsidRDefault="00DB0AA3">
      <w:pPr>
        <w:spacing w:after="120" w:line="360" w:lineRule="auto"/>
        <w:jc w:val="both"/>
        <w:rPr>
          <w:lang w:val="el-GR"/>
        </w:rPr>
      </w:pPr>
      <w:r w:rsidRPr="00BF0161">
        <w:rPr>
          <w:b/>
          <w:lang w:val="el-GR"/>
        </w:rPr>
        <w:t xml:space="preserve">Όγκοι: </w:t>
      </w:r>
      <w:r w:rsidRPr="00BF0161">
        <w:rPr>
          <w:lang w:val="el-GR"/>
        </w:rPr>
        <w:t xml:space="preserve">Διαταραχές κατάποσης συχνά υπάρχουν σε ασθενείς με καρκίνο κεφαλής και τραχήλου </w:t>
      </w:r>
      <w:proofErr w:type="spellStart"/>
      <w:r w:rsidRPr="00BF0161">
        <w:rPr>
          <w:lang w:val="el-GR"/>
        </w:rPr>
        <w:t>προεγχειρητικά</w:t>
      </w:r>
      <w:proofErr w:type="spellEnd"/>
      <w:r w:rsidRPr="00BF0161">
        <w:rPr>
          <w:lang w:val="el-GR"/>
        </w:rPr>
        <w:t xml:space="preserve"> (</w:t>
      </w:r>
      <w:r>
        <w:rPr>
          <w:lang w:val="en-US"/>
        </w:rPr>
        <w:t>Murry</w:t>
      </w:r>
      <w:r w:rsidRPr="00BF0161">
        <w:rPr>
          <w:lang w:val="el-GR"/>
        </w:rPr>
        <w:t xml:space="preserve"> &amp; </w:t>
      </w:r>
      <w:proofErr w:type="spellStart"/>
      <w:r>
        <w:rPr>
          <w:lang w:val="en-US"/>
        </w:rPr>
        <w:t>Carrau</w:t>
      </w:r>
      <w:proofErr w:type="spellEnd"/>
      <w:r w:rsidRPr="00BF0161">
        <w:rPr>
          <w:lang w:val="el-GR"/>
        </w:rPr>
        <w:t>, 2014). Κάποια από τα συμπτώματα των καρκινοπαθών ατόμων είναι: αίσθημα πληρότητας στον φάρυγγα, ευαισθησία ή ενοχλήματα και αλλαγές στην κατάποση (</w:t>
      </w:r>
      <w:r>
        <w:rPr>
          <w:lang w:val="en-US"/>
        </w:rPr>
        <w:t>Ballenger</w:t>
      </w:r>
      <w:r w:rsidRPr="00BF0161">
        <w:rPr>
          <w:lang w:val="el-GR"/>
        </w:rPr>
        <w:t xml:space="preserve"> &amp; </w:t>
      </w:r>
      <w:r>
        <w:rPr>
          <w:lang w:val="en-US"/>
        </w:rPr>
        <w:t>Snow</w:t>
      </w:r>
      <w:r w:rsidRPr="00BF0161">
        <w:rPr>
          <w:lang w:val="el-GR"/>
        </w:rPr>
        <w:t xml:space="preserve"> </w:t>
      </w:r>
      <w:r>
        <w:rPr>
          <w:lang w:val="en-US"/>
        </w:rPr>
        <w:t>Jr</w:t>
      </w:r>
      <w:r w:rsidRPr="00BF0161">
        <w:rPr>
          <w:lang w:val="el-GR"/>
        </w:rPr>
        <w:t xml:space="preserve">., 1998).  Επιπλέον, ένα γνώριμο χαρακτηριστικό αυτών των ατόμων είναι η </w:t>
      </w:r>
      <w:proofErr w:type="spellStart"/>
      <w:r w:rsidRPr="00BF0161">
        <w:rPr>
          <w:lang w:val="el-GR"/>
        </w:rPr>
        <w:t>υποθρεψία</w:t>
      </w:r>
      <w:proofErr w:type="spellEnd"/>
      <w:r w:rsidRPr="00BF0161">
        <w:rPr>
          <w:lang w:val="el-GR"/>
        </w:rPr>
        <w:t xml:space="preserve"> εξαιτίας, της αδυναμίας τους για σίτιση </w:t>
      </w:r>
      <w:r w:rsidRPr="00BF0161">
        <w:rPr>
          <w:lang w:val="el-GR"/>
        </w:rPr>
        <w:lastRenderedPageBreak/>
        <w:t>και πόση. Η αδυναμία αυτή, οφείλεται στον πόνο, στη δυσκολία του ατόμου να επεξεργαστεί την τροφή στην στοματική κοιλότητα και την προσκόλληση της στον φάρυγγα ή τον οισοφάγο</w:t>
      </w:r>
      <w:r w:rsidR="00762F54">
        <w:rPr>
          <w:lang w:val="el-GR"/>
        </w:rPr>
        <w:t xml:space="preserve"> </w:t>
      </w:r>
      <w:r w:rsidRPr="00BF0161">
        <w:rPr>
          <w:lang w:val="el-GR"/>
        </w:rPr>
        <w:t>(</w:t>
      </w:r>
      <w:r>
        <w:rPr>
          <w:lang w:val="en-US"/>
        </w:rPr>
        <w:t>Murry</w:t>
      </w:r>
      <w:r w:rsidRPr="00BF0161">
        <w:rPr>
          <w:lang w:val="el-GR"/>
        </w:rPr>
        <w:t xml:space="preserve"> &amp; </w:t>
      </w:r>
      <w:proofErr w:type="spellStart"/>
      <w:r>
        <w:rPr>
          <w:lang w:val="en-US"/>
        </w:rPr>
        <w:t>Carrau</w:t>
      </w:r>
      <w:proofErr w:type="spellEnd"/>
      <w:r w:rsidRPr="00BF0161">
        <w:rPr>
          <w:lang w:val="el-GR"/>
        </w:rPr>
        <w:t xml:space="preserve">, 2014). </w:t>
      </w:r>
    </w:p>
    <w:p w14:paraId="4793B6E9" w14:textId="77777777" w:rsidR="00146CE2" w:rsidRPr="00BF0161" w:rsidRDefault="00146CE2">
      <w:pPr>
        <w:spacing w:after="120" w:line="360" w:lineRule="auto"/>
        <w:jc w:val="both"/>
        <w:rPr>
          <w:b/>
          <w:lang w:val="el-GR"/>
        </w:rPr>
      </w:pPr>
    </w:p>
    <w:p w14:paraId="08DCE615" w14:textId="77777777" w:rsidR="00146CE2" w:rsidRPr="00456D14" w:rsidRDefault="00DB0AA3" w:rsidP="00456D14">
      <w:pPr>
        <w:pStyle w:val="2"/>
        <w:spacing w:before="0" w:line="360" w:lineRule="auto"/>
        <w:rPr>
          <w:b/>
        </w:rPr>
      </w:pPr>
      <w:bookmarkStart w:id="20" w:name="_Toc493323966"/>
      <w:r w:rsidRPr="00456D14">
        <w:rPr>
          <w:b/>
        </w:rPr>
        <w:t>1.3.3 Οισοφαγικά αίτια δυσφαγίας</w:t>
      </w:r>
      <w:bookmarkEnd w:id="20"/>
    </w:p>
    <w:p w14:paraId="1D737A83" w14:textId="77777777" w:rsidR="00146CE2" w:rsidRPr="00BF0161" w:rsidRDefault="00DB0AA3">
      <w:pPr>
        <w:spacing w:after="120" w:line="360" w:lineRule="auto"/>
        <w:jc w:val="both"/>
        <w:rPr>
          <w:lang w:val="el-GR"/>
        </w:rPr>
      </w:pPr>
      <w:r w:rsidRPr="00BF0161">
        <w:rPr>
          <w:lang w:val="el-GR"/>
        </w:rPr>
        <w:t>Οισοφαγικά αίτια δυσφαγίας είναι:</w:t>
      </w:r>
    </w:p>
    <w:tbl>
      <w:tblPr>
        <w:tblW w:w="0" w:type="auto"/>
        <w:tblInd w:w="10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firstRow="1" w:lastRow="0" w:firstColumn="1" w:lastColumn="0" w:noHBand="0" w:noVBand="1"/>
      </w:tblPr>
      <w:tblGrid>
        <w:gridCol w:w="4334"/>
        <w:gridCol w:w="4334"/>
      </w:tblGrid>
      <w:tr w:rsidR="003C1FD9" w14:paraId="27717BA5" w14:textId="77777777" w:rsidTr="002E3503">
        <w:tc>
          <w:tcPr>
            <w:tcW w:w="43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22FC6FB" w14:textId="77777777" w:rsidR="003C1FD9" w:rsidRDefault="003C1FD9">
            <w:pPr>
              <w:spacing w:line="360" w:lineRule="auto"/>
              <w:jc w:val="both"/>
            </w:pPr>
            <w:proofErr w:type="spellStart"/>
            <w:r>
              <w:t>Εκκολ</w:t>
            </w:r>
            <w:proofErr w:type="spellEnd"/>
            <w:r>
              <w:t>πώματα</w:t>
            </w:r>
          </w:p>
        </w:tc>
        <w:tc>
          <w:tcPr>
            <w:tcW w:w="4334" w:type="dxa"/>
            <w:tcBorders>
              <w:top w:val="single" w:sz="4" w:space="0" w:color="000001"/>
              <w:left w:val="single" w:sz="4" w:space="0" w:color="000001"/>
              <w:bottom w:val="single" w:sz="4" w:space="0" w:color="000001"/>
              <w:right w:val="single" w:sz="4" w:space="0" w:color="000001"/>
            </w:tcBorders>
          </w:tcPr>
          <w:p w14:paraId="2DF191C2" w14:textId="77777777" w:rsidR="003C1FD9" w:rsidRDefault="003C1FD9">
            <w:pPr>
              <w:spacing w:line="360" w:lineRule="auto"/>
              <w:jc w:val="both"/>
            </w:pPr>
            <w:r>
              <w:t>Γα</w:t>
            </w:r>
            <w:proofErr w:type="spellStart"/>
            <w:r>
              <w:t>στροοισοφ</w:t>
            </w:r>
            <w:proofErr w:type="spellEnd"/>
            <w:r>
              <w:t>αγική πα</w:t>
            </w:r>
            <w:proofErr w:type="spellStart"/>
            <w:r>
              <w:t>λινδρόμηση</w:t>
            </w:r>
            <w:proofErr w:type="spellEnd"/>
            <w:r>
              <w:t xml:space="preserve"> </w:t>
            </w:r>
          </w:p>
        </w:tc>
      </w:tr>
      <w:tr w:rsidR="003C1FD9" w14:paraId="6AE371E2" w14:textId="77777777" w:rsidTr="002E3503">
        <w:tc>
          <w:tcPr>
            <w:tcW w:w="433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7A13D4F" w14:textId="77777777" w:rsidR="003C1FD9" w:rsidRDefault="003C1FD9">
            <w:pPr>
              <w:spacing w:line="360" w:lineRule="auto"/>
              <w:jc w:val="both"/>
            </w:pPr>
            <w:proofErr w:type="spellStart"/>
            <w:r>
              <w:t>Αχ</w:t>
            </w:r>
            <w:proofErr w:type="spellEnd"/>
            <w:r>
              <w:t>αλασία</w:t>
            </w:r>
          </w:p>
        </w:tc>
        <w:tc>
          <w:tcPr>
            <w:tcW w:w="4334" w:type="dxa"/>
            <w:tcBorders>
              <w:top w:val="single" w:sz="4" w:space="0" w:color="000001"/>
              <w:left w:val="single" w:sz="4" w:space="0" w:color="000001"/>
              <w:bottom w:val="single" w:sz="4" w:space="0" w:color="000001"/>
              <w:right w:val="single" w:sz="4" w:space="0" w:color="000001"/>
            </w:tcBorders>
          </w:tcPr>
          <w:p w14:paraId="0FB9EDC6" w14:textId="77777777" w:rsidR="003C1FD9" w:rsidRDefault="003C1FD9">
            <w:pPr>
              <w:spacing w:line="360" w:lineRule="auto"/>
              <w:jc w:val="both"/>
            </w:pPr>
            <w:proofErr w:type="spellStart"/>
            <w:r>
              <w:t>Οισοφ</w:t>
            </w:r>
            <w:proofErr w:type="spellEnd"/>
            <w:r>
              <w:t xml:space="preserve">αγική </w:t>
            </w:r>
            <w:proofErr w:type="spellStart"/>
            <w:r>
              <w:t>στένωση</w:t>
            </w:r>
            <w:proofErr w:type="spellEnd"/>
            <w:r>
              <w:t xml:space="preserve"> </w:t>
            </w:r>
          </w:p>
        </w:tc>
      </w:tr>
    </w:tbl>
    <w:p w14:paraId="3294EAB5" w14:textId="77777777" w:rsidR="00146CE2" w:rsidRDefault="00146CE2">
      <w:pPr>
        <w:spacing w:after="120" w:line="360" w:lineRule="auto"/>
        <w:jc w:val="both"/>
      </w:pPr>
    </w:p>
    <w:p w14:paraId="15FCE21F" w14:textId="77777777" w:rsidR="00146CE2" w:rsidRDefault="00DB0AA3">
      <w:pPr>
        <w:spacing w:after="120" w:line="360" w:lineRule="auto"/>
        <w:jc w:val="both"/>
      </w:pPr>
      <w:proofErr w:type="spellStart"/>
      <w:r>
        <w:rPr>
          <w:b/>
        </w:rPr>
        <w:t>Πίν</w:t>
      </w:r>
      <w:proofErr w:type="spellEnd"/>
      <w:r>
        <w:rPr>
          <w:b/>
        </w:rPr>
        <w:t xml:space="preserve">ακας 1.4 </w:t>
      </w:r>
      <w:proofErr w:type="spellStart"/>
      <w:r>
        <w:t>Οισοφ</w:t>
      </w:r>
      <w:proofErr w:type="spellEnd"/>
      <w:r>
        <w:t>αγικά α</w:t>
      </w:r>
      <w:proofErr w:type="spellStart"/>
      <w:r>
        <w:t>ίτι</w:t>
      </w:r>
      <w:proofErr w:type="spellEnd"/>
      <w:r>
        <w:t xml:space="preserve">α </w:t>
      </w:r>
      <w:proofErr w:type="spellStart"/>
      <w:r>
        <w:t>δυσφ</w:t>
      </w:r>
      <w:proofErr w:type="spellEnd"/>
      <w:r>
        <w:t xml:space="preserve">αγίας/ </w:t>
      </w:r>
      <w:proofErr w:type="spellStart"/>
      <w:r>
        <w:t>Πηγές</w:t>
      </w:r>
      <w:proofErr w:type="spellEnd"/>
      <w:r>
        <w:t xml:space="preserve">: </w:t>
      </w:r>
      <w:r>
        <w:rPr>
          <w:lang w:val="en-US"/>
        </w:rPr>
        <w:t>Corbin</w:t>
      </w:r>
      <w:r>
        <w:t xml:space="preserve">- </w:t>
      </w:r>
      <w:r>
        <w:rPr>
          <w:lang w:val="en-US"/>
        </w:rPr>
        <w:t>Lewis</w:t>
      </w:r>
      <w:r>
        <w:t xml:space="preserve">, </w:t>
      </w:r>
      <w:proofErr w:type="spellStart"/>
      <w:r>
        <w:rPr>
          <w:lang w:val="en-US"/>
        </w:rPr>
        <w:t>Liss</w:t>
      </w:r>
      <w:proofErr w:type="spellEnd"/>
      <w:r>
        <w:t xml:space="preserve"> &amp; </w:t>
      </w:r>
      <w:proofErr w:type="spellStart"/>
      <w:r>
        <w:rPr>
          <w:lang w:val="en-US"/>
        </w:rPr>
        <w:t>Sciortino</w:t>
      </w:r>
      <w:proofErr w:type="spellEnd"/>
      <w:r>
        <w:t xml:space="preserve"> (2004), </w:t>
      </w:r>
      <w:proofErr w:type="spellStart"/>
      <w:r>
        <w:rPr>
          <w:lang w:val="en-US"/>
        </w:rPr>
        <w:t>Groher</w:t>
      </w:r>
      <w:proofErr w:type="spellEnd"/>
      <w:r>
        <w:t xml:space="preserve"> (1997), </w:t>
      </w:r>
      <w:r>
        <w:rPr>
          <w:lang w:val="en-US"/>
        </w:rPr>
        <w:t>Murry</w:t>
      </w:r>
      <w:r>
        <w:t xml:space="preserve"> &amp; </w:t>
      </w:r>
      <w:proofErr w:type="spellStart"/>
      <w:r>
        <w:rPr>
          <w:lang w:val="en-US"/>
        </w:rPr>
        <w:t>Carrau</w:t>
      </w:r>
      <w:proofErr w:type="spellEnd"/>
      <w:r>
        <w:t xml:space="preserve"> (2014), </w:t>
      </w:r>
      <w:proofErr w:type="spellStart"/>
      <w:r>
        <w:rPr>
          <w:lang w:val="en-US"/>
        </w:rPr>
        <w:t>Schindelmeiser</w:t>
      </w:r>
      <w:proofErr w:type="spellEnd"/>
      <w:r>
        <w:t xml:space="preserve"> (2013).</w:t>
      </w:r>
    </w:p>
    <w:p w14:paraId="217B73DD" w14:textId="77777777" w:rsidR="00146CE2" w:rsidRDefault="00146CE2">
      <w:pPr>
        <w:spacing w:after="120" w:line="360" w:lineRule="auto"/>
        <w:jc w:val="both"/>
      </w:pPr>
    </w:p>
    <w:p w14:paraId="1818AC65" w14:textId="77777777" w:rsidR="00146CE2" w:rsidRPr="00BF0161" w:rsidRDefault="00DB0AA3">
      <w:pPr>
        <w:spacing w:after="120" w:line="360" w:lineRule="auto"/>
        <w:jc w:val="both"/>
        <w:rPr>
          <w:lang w:val="el-GR"/>
        </w:rPr>
      </w:pPr>
      <w:proofErr w:type="spellStart"/>
      <w:r w:rsidRPr="00BF0161">
        <w:rPr>
          <w:b/>
          <w:lang w:val="el-GR"/>
        </w:rPr>
        <w:t>Εκκολπώματα</w:t>
      </w:r>
      <w:proofErr w:type="spellEnd"/>
      <w:r w:rsidRPr="00BF0161">
        <w:rPr>
          <w:b/>
          <w:lang w:val="el-GR"/>
        </w:rPr>
        <w:t xml:space="preserve">: </w:t>
      </w:r>
      <w:r w:rsidRPr="00BF0161">
        <w:rPr>
          <w:lang w:val="el-GR"/>
        </w:rPr>
        <w:t xml:space="preserve">Σύμφωνα με τους </w:t>
      </w:r>
      <w:proofErr w:type="spellStart"/>
      <w:r>
        <w:rPr>
          <w:lang w:val="en-US"/>
        </w:rPr>
        <w:t>Carrau</w:t>
      </w:r>
      <w:proofErr w:type="spellEnd"/>
      <w:r w:rsidRPr="00BF0161">
        <w:rPr>
          <w:lang w:val="el-GR"/>
        </w:rPr>
        <w:t xml:space="preserve"> &amp; </w:t>
      </w:r>
      <w:r>
        <w:rPr>
          <w:lang w:val="en-US"/>
        </w:rPr>
        <w:t>Murry</w:t>
      </w:r>
      <w:r w:rsidRPr="00BF0161">
        <w:rPr>
          <w:lang w:val="el-GR"/>
        </w:rPr>
        <w:t xml:space="preserve"> (2014)  «</w:t>
      </w:r>
      <w:r w:rsidRPr="00BF0161">
        <w:rPr>
          <w:i/>
          <w:lang w:val="el-GR"/>
        </w:rPr>
        <w:t xml:space="preserve">τα οισοφαγικά </w:t>
      </w:r>
      <w:proofErr w:type="spellStart"/>
      <w:r w:rsidRPr="00BF0161">
        <w:rPr>
          <w:i/>
          <w:lang w:val="el-GR"/>
        </w:rPr>
        <w:t>εκκολπώματα</w:t>
      </w:r>
      <w:proofErr w:type="spellEnd"/>
      <w:r w:rsidRPr="00BF0161">
        <w:rPr>
          <w:i/>
          <w:lang w:val="el-GR"/>
        </w:rPr>
        <w:t xml:space="preserve"> είναι θύλακοι, δηλαδή σάκοι που προβάλουν από κάποιο σημείο του τοιχώματος του οισοφάγου</w:t>
      </w:r>
      <w:r w:rsidRPr="00BF0161">
        <w:rPr>
          <w:lang w:val="el-GR"/>
        </w:rPr>
        <w:t xml:space="preserve">». Είναι πιθανό να εντοπιστούν στον άνω οισοφαγικό σφιγκτήρα (ΑΟΣ), στο μέσο του οισοφάγου, στον κάτω οισοφαγικό σφιγκτήρα (ΚΟΣ) ή στη </w:t>
      </w:r>
      <w:proofErr w:type="spellStart"/>
      <w:r w:rsidRPr="00BF0161">
        <w:rPr>
          <w:lang w:val="el-GR"/>
        </w:rPr>
        <w:t>γαστροοισοφαγική</w:t>
      </w:r>
      <w:proofErr w:type="spellEnd"/>
      <w:r w:rsidRPr="00BF0161">
        <w:rPr>
          <w:lang w:val="el-GR"/>
        </w:rPr>
        <w:t xml:space="preserve"> συμβολή (</w:t>
      </w:r>
      <w:r>
        <w:rPr>
          <w:lang w:val="en-US"/>
        </w:rPr>
        <w:t>Murry</w:t>
      </w:r>
      <w:r w:rsidRPr="00BF0161">
        <w:rPr>
          <w:lang w:val="el-GR"/>
        </w:rPr>
        <w:t xml:space="preserve"> </w:t>
      </w:r>
      <w:r w:rsidRPr="00BF0161">
        <w:rPr>
          <w:lang w:val="el-GR"/>
        </w:rPr>
        <w:lastRenderedPageBreak/>
        <w:t xml:space="preserve">&amp; </w:t>
      </w:r>
      <w:proofErr w:type="spellStart"/>
      <w:r>
        <w:rPr>
          <w:lang w:val="en-US"/>
        </w:rPr>
        <w:t>Carrau</w:t>
      </w:r>
      <w:proofErr w:type="spellEnd"/>
      <w:r w:rsidRPr="00BF0161">
        <w:rPr>
          <w:lang w:val="el-GR"/>
        </w:rPr>
        <w:t xml:space="preserve">, 2014). Συγκεκριμένα, τα </w:t>
      </w:r>
      <w:proofErr w:type="spellStart"/>
      <w:r w:rsidRPr="00BF0161">
        <w:rPr>
          <w:lang w:val="el-GR"/>
        </w:rPr>
        <w:t>εκκολπώματα</w:t>
      </w:r>
      <w:proofErr w:type="spellEnd"/>
      <w:r w:rsidRPr="00BF0161">
        <w:rPr>
          <w:lang w:val="el-GR"/>
        </w:rPr>
        <w:t xml:space="preserve">  </w:t>
      </w:r>
      <w:proofErr w:type="spellStart"/>
      <w:r>
        <w:rPr>
          <w:lang w:val="en-US"/>
        </w:rPr>
        <w:t>Zenker</w:t>
      </w:r>
      <w:proofErr w:type="spellEnd"/>
      <w:r w:rsidRPr="00BF0161">
        <w:rPr>
          <w:lang w:val="el-GR"/>
        </w:rPr>
        <w:t xml:space="preserve"> είναι πιο κοινά σε άντρες ηλικίας 60-70 ετών. </w:t>
      </w:r>
      <w:proofErr w:type="spellStart"/>
      <w:r w:rsidRPr="00BF0161">
        <w:rPr>
          <w:lang w:val="el-GR"/>
        </w:rPr>
        <w:t>Εκκολπώματα</w:t>
      </w:r>
      <w:proofErr w:type="spellEnd"/>
      <w:r w:rsidRPr="00BF0161">
        <w:rPr>
          <w:lang w:val="el-GR"/>
        </w:rPr>
        <w:t xml:space="preserve"> μεγάλου μεγέθους μπορούν να προκαλέσουν δυσφαγία και οι ασθενείς να βιώσουν συμπτώματα απώλειας βάρους, </w:t>
      </w:r>
      <w:proofErr w:type="spellStart"/>
      <w:r w:rsidRPr="00BF0161">
        <w:rPr>
          <w:lang w:val="el-GR"/>
        </w:rPr>
        <w:t>εισρόφησης</w:t>
      </w:r>
      <w:proofErr w:type="spellEnd"/>
      <w:r w:rsidRPr="00BF0161">
        <w:rPr>
          <w:lang w:val="el-GR"/>
        </w:rPr>
        <w:t xml:space="preserve"> και πληρότητας στο λαιμό (</w:t>
      </w:r>
      <w:proofErr w:type="spellStart"/>
      <w:r>
        <w:rPr>
          <w:lang w:val="en-US"/>
        </w:rPr>
        <w:t>Groher</w:t>
      </w:r>
      <w:proofErr w:type="spellEnd"/>
      <w:r w:rsidRPr="00BF0161">
        <w:rPr>
          <w:lang w:val="el-GR"/>
        </w:rPr>
        <w:t>, 1997).</w:t>
      </w:r>
    </w:p>
    <w:p w14:paraId="059A60A2" w14:textId="77777777" w:rsidR="00A87AEA" w:rsidRPr="00BF0161" w:rsidRDefault="00A87AEA">
      <w:pPr>
        <w:spacing w:after="120" w:line="360" w:lineRule="auto"/>
        <w:jc w:val="both"/>
        <w:rPr>
          <w:b/>
          <w:lang w:val="el-GR"/>
        </w:rPr>
      </w:pPr>
    </w:p>
    <w:p w14:paraId="0E79D456" w14:textId="77777777" w:rsidR="00146CE2" w:rsidRPr="00BF0161" w:rsidRDefault="00DB0AA3">
      <w:pPr>
        <w:spacing w:after="120" w:line="360" w:lineRule="auto"/>
        <w:jc w:val="both"/>
        <w:rPr>
          <w:lang w:val="el-GR"/>
        </w:rPr>
      </w:pPr>
      <w:proofErr w:type="spellStart"/>
      <w:r w:rsidRPr="00BF0161">
        <w:rPr>
          <w:b/>
          <w:lang w:val="el-GR"/>
        </w:rPr>
        <w:t>Αχαλασία</w:t>
      </w:r>
      <w:proofErr w:type="spellEnd"/>
      <w:r w:rsidRPr="00BF0161">
        <w:rPr>
          <w:b/>
          <w:lang w:val="el-GR"/>
        </w:rPr>
        <w:t xml:space="preserve">: </w:t>
      </w:r>
      <w:r w:rsidRPr="00BF0161">
        <w:rPr>
          <w:lang w:val="el-GR"/>
        </w:rPr>
        <w:t>Σύμφωνα με τις</w:t>
      </w:r>
      <w:r w:rsidRPr="00BF0161">
        <w:rPr>
          <w:b/>
          <w:lang w:val="el-GR"/>
        </w:rPr>
        <w:t xml:space="preserve"> </w:t>
      </w:r>
      <w:r>
        <w:rPr>
          <w:lang w:val="en-US"/>
        </w:rPr>
        <w:t>Corbin</w:t>
      </w:r>
      <w:r w:rsidRPr="00BF0161">
        <w:rPr>
          <w:lang w:val="el-GR"/>
        </w:rPr>
        <w:t xml:space="preserve">- </w:t>
      </w:r>
      <w:r>
        <w:rPr>
          <w:lang w:val="en-US"/>
        </w:rPr>
        <w:t>Lewis</w:t>
      </w:r>
      <w:r w:rsidRPr="00BF0161">
        <w:rPr>
          <w:lang w:val="el-GR"/>
        </w:rPr>
        <w:t xml:space="preserve">, </w:t>
      </w:r>
      <w:proofErr w:type="spellStart"/>
      <w:r>
        <w:rPr>
          <w:lang w:val="en-US"/>
        </w:rPr>
        <w:t>Liss</w:t>
      </w:r>
      <w:proofErr w:type="spellEnd"/>
      <w:r w:rsidRPr="00BF0161">
        <w:rPr>
          <w:lang w:val="el-GR"/>
        </w:rPr>
        <w:t xml:space="preserve"> &amp; </w:t>
      </w:r>
      <w:proofErr w:type="spellStart"/>
      <w:r>
        <w:rPr>
          <w:lang w:val="en-US"/>
        </w:rPr>
        <w:t>Sciortino</w:t>
      </w:r>
      <w:proofErr w:type="spellEnd"/>
      <w:r w:rsidRPr="00BF0161">
        <w:rPr>
          <w:lang w:val="el-GR"/>
        </w:rPr>
        <w:t xml:space="preserve"> (2004) η </w:t>
      </w:r>
      <w:proofErr w:type="spellStart"/>
      <w:r w:rsidRPr="00BF0161">
        <w:rPr>
          <w:lang w:val="el-GR"/>
        </w:rPr>
        <w:t>αχαλασία</w:t>
      </w:r>
      <w:proofErr w:type="spellEnd"/>
      <w:r w:rsidRPr="00BF0161">
        <w:rPr>
          <w:lang w:val="el-GR"/>
        </w:rPr>
        <w:t xml:space="preserve"> (αποτυχία χαλάρωσης) είναι «</w:t>
      </w:r>
      <w:r w:rsidRPr="00BF0161">
        <w:rPr>
          <w:i/>
          <w:lang w:val="el-GR"/>
        </w:rPr>
        <w:t>μία κινητική διαταραχή του οισοφάγου, κατά την οποία οι μύες του κάτω οισοφαγικού σφικτήρα δε χαλαρώνουν κατά την διάρκεια της κατάποσης</w:t>
      </w:r>
      <w:r w:rsidRPr="00BF0161">
        <w:rPr>
          <w:lang w:val="el-GR"/>
        </w:rPr>
        <w:t>». Ένα από τα συμπτώματα της πάθησης είναι η δυσφαγία. Οι ασθενείς βιώνουν πόνο στο στήθος, αναγωγή φαγητού από τον οισοφάγο, βήχα (</w:t>
      </w:r>
      <w:r>
        <w:rPr>
          <w:lang w:val="en-US"/>
        </w:rPr>
        <w:t>Corbin</w:t>
      </w:r>
      <w:r w:rsidRPr="00BF0161">
        <w:rPr>
          <w:lang w:val="el-GR"/>
        </w:rPr>
        <w:t xml:space="preserve">- </w:t>
      </w:r>
      <w:r>
        <w:rPr>
          <w:lang w:val="en-US"/>
        </w:rPr>
        <w:t>Lewis</w:t>
      </w:r>
      <w:r w:rsidRPr="00BF0161">
        <w:rPr>
          <w:lang w:val="el-GR"/>
        </w:rPr>
        <w:t xml:space="preserve">, </w:t>
      </w:r>
      <w:proofErr w:type="spellStart"/>
      <w:r>
        <w:rPr>
          <w:lang w:val="en-US"/>
        </w:rPr>
        <w:t>Liss</w:t>
      </w:r>
      <w:proofErr w:type="spellEnd"/>
      <w:r w:rsidRPr="00BF0161">
        <w:rPr>
          <w:lang w:val="el-GR"/>
        </w:rPr>
        <w:t xml:space="preserve"> &amp; </w:t>
      </w:r>
      <w:proofErr w:type="spellStart"/>
      <w:r>
        <w:rPr>
          <w:lang w:val="en-US"/>
        </w:rPr>
        <w:t>Sciortino</w:t>
      </w:r>
      <w:proofErr w:type="spellEnd"/>
      <w:r w:rsidRPr="00BF0161">
        <w:rPr>
          <w:lang w:val="el-GR"/>
        </w:rPr>
        <w:t>, 2004), ενώ επίσης, η τροφή προσκολλάται στον λαιμό τους με αποτέλεσμα να προβαίνουν σε επανειλημμένες καταπόσεις. Η τροφή προωθείται μόνο όταν επέρχεται χαλάρωση των μυών του οισοφάγου (</w:t>
      </w:r>
      <w:r>
        <w:rPr>
          <w:lang w:val="en-US"/>
        </w:rPr>
        <w:t>Murry</w:t>
      </w:r>
      <w:r w:rsidRPr="00BF0161">
        <w:rPr>
          <w:lang w:val="el-GR"/>
        </w:rPr>
        <w:t xml:space="preserve"> &amp; </w:t>
      </w:r>
      <w:proofErr w:type="spellStart"/>
      <w:r>
        <w:rPr>
          <w:lang w:val="en-US"/>
        </w:rPr>
        <w:t>Carrau</w:t>
      </w:r>
      <w:proofErr w:type="spellEnd"/>
      <w:r w:rsidRPr="00BF0161">
        <w:rPr>
          <w:lang w:val="el-GR"/>
        </w:rPr>
        <w:t>, 2014). Το 30% των ασθενών έχουν αναπνευστικά προβλήματα που έχουν σχέση με εισρόφηση οισοφαγικού περιεχομένου (</w:t>
      </w:r>
      <w:r>
        <w:rPr>
          <w:lang w:val="en-US"/>
        </w:rPr>
        <w:t>Butcher</w:t>
      </w:r>
      <w:r w:rsidRPr="00BF0161">
        <w:rPr>
          <w:lang w:val="el-GR"/>
        </w:rPr>
        <w:t>, 2008).</w:t>
      </w:r>
    </w:p>
    <w:p w14:paraId="72D3A488" w14:textId="77777777" w:rsidR="00A87AEA" w:rsidRPr="00BF0161" w:rsidRDefault="00A87AEA">
      <w:pPr>
        <w:spacing w:after="120" w:line="360" w:lineRule="auto"/>
        <w:jc w:val="both"/>
        <w:rPr>
          <w:b/>
          <w:lang w:val="el-GR"/>
        </w:rPr>
      </w:pPr>
    </w:p>
    <w:p w14:paraId="3C5BE593" w14:textId="77777777" w:rsidR="00146CE2" w:rsidRPr="00BF0161" w:rsidRDefault="00DB0AA3">
      <w:pPr>
        <w:spacing w:after="120" w:line="360" w:lineRule="auto"/>
        <w:jc w:val="both"/>
        <w:rPr>
          <w:lang w:val="el-GR"/>
        </w:rPr>
      </w:pPr>
      <w:proofErr w:type="spellStart"/>
      <w:r w:rsidRPr="00BF0161">
        <w:rPr>
          <w:b/>
          <w:lang w:val="el-GR"/>
        </w:rPr>
        <w:lastRenderedPageBreak/>
        <w:t>Γαστροοισοφαγική</w:t>
      </w:r>
      <w:proofErr w:type="spellEnd"/>
      <w:r w:rsidRPr="00BF0161">
        <w:rPr>
          <w:b/>
          <w:lang w:val="el-GR"/>
        </w:rPr>
        <w:t xml:space="preserve"> παλινδρόμηση:</w:t>
      </w:r>
      <w:r w:rsidRPr="00BF0161">
        <w:rPr>
          <w:lang w:val="el-GR"/>
        </w:rPr>
        <w:t xml:space="preserve"> Οι </w:t>
      </w:r>
      <w:r>
        <w:rPr>
          <w:lang w:val="en-US"/>
        </w:rPr>
        <w:t>Murry</w:t>
      </w:r>
      <w:r w:rsidRPr="00BF0161">
        <w:rPr>
          <w:lang w:val="el-GR"/>
        </w:rPr>
        <w:t xml:space="preserve"> &amp; </w:t>
      </w:r>
      <w:proofErr w:type="spellStart"/>
      <w:r>
        <w:rPr>
          <w:lang w:val="en-US"/>
        </w:rPr>
        <w:t>Carrau</w:t>
      </w:r>
      <w:proofErr w:type="spellEnd"/>
      <w:r w:rsidRPr="00BF0161">
        <w:rPr>
          <w:lang w:val="el-GR"/>
        </w:rPr>
        <w:t xml:space="preserve"> (2014) με τον όρο </w:t>
      </w:r>
      <w:proofErr w:type="spellStart"/>
      <w:r w:rsidRPr="00BF0161">
        <w:rPr>
          <w:lang w:val="el-GR"/>
        </w:rPr>
        <w:t>γαστροοισοφαγική</w:t>
      </w:r>
      <w:proofErr w:type="spellEnd"/>
      <w:r w:rsidRPr="00BF0161">
        <w:rPr>
          <w:lang w:val="el-GR"/>
        </w:rPr>
        <w:t xml:space="preserve"> παλινδρόμηση (ΓΟΠ) εννοούν «</w:t>
      </w:r>
      <w:r w:rsidRPr="00BF0161">
        <w:rPr>
          <w:i/>
          <w:lang w:val="el-GR"/>
        </w:rPr>
        <w:t>την διαφυγή του γαστρικού περιεχομένου στον οισοφάγο… διαμέσου του κατώτερου οισοφαγικού σφικτήρα</w:t>
      </w:r>
      <w:r w:rsidRPr="00BF0161">
        <w:rPr>
          <w:lang w:val="el-GR"/>
        </w:rPr>
        <w:t>». Η δυσφαγία είναι μια κοινή πάθηση των ασθενών με ΓΟΠ, μπορεί να αναπτυχθεί ως απόρροια και μετά από θεραπεία της (</w:t>
      </w:r>
      <w:proofErr w:type="spellStart"/>
      <w:r>
        <w:rPr>
          <w:lang w:val="en-US"/>
        </w:rPr>
        <w:t>Vaezi</w:t>
      </w:r>
      <w:proofErr w:type="spellEnd"/>
      <w:r w:rsidRPr="00BF0161">
        <w:rPr>
          <w:lang w:val="el-GR"/>
        </w:rPr>
        <w:t xml:space="preserve">, 2009). Τα κυριότερα συμπτώματα είναι: η περιοδικοί εμετοί, η αιματέμεση, ο μηρυκασμός, οι αναγωγές, η άρνηση λήψης τροφής και ο </w:t>
      </w:r>
      <w:proofErr w:type="spellStart"/>
      <w:r w:rsidRPr="00BF0161">
        <w:rPr>
          <w:lang w:val="el-GR"/>
        </w:rPr>
        <w:t>οπισθοστερνικός</w:t>
      </w:r>
      <w:proofErr w:type="spellEnd"/>
      <w:r w:rsidRPr="00BF0161">
        <w:rPr>
          <w:lang w:val="el-GR"/>
        </w:rPr>
        <w:t xml:space="preserve"> πόνος (Παντελιάδης &amp; </w:t>
      </w:r>
      <w:proofErr w:type="spellStart"/>
      <w:r w:rsidRPr="00BF0161">
        <w:rPr>
          <w:lang w:val="el-GR"/>
        </w:rPr>
        <w:t>Σύργου</w:t>
      </w:r>
      <w:proofErr w:type="spellEnd"/>
      <w:r w:rsidRPr="00BF0161">
        <w:rPr>
          <w:lang w:val="el-GR"/>
        </w:rPr>
        <w:t>-Παπαβασιλείου, 2002).</w:t>
      </w:r>
    </w:p>
    <w:p w14:paraId="2C830F19" w14:textId="77777777" w:rsidR="00A87AEA" w:rsidRPr="00BF0161" w:rsidRDefault="00A87AEA">
      <w:pPr>
        <w:spacing w:after="120" w:line="360" w:lineRule="auto"/>
        <w:jc w:val="both"/>
        <w:rPr>
          <w:b/>
          <w:lang w:val="el-GR"/>
        </w:rPr>
      </w:pPr>
    </w:p>
    <w:p w14:paraId="3AE6EBA1" w14:textId="77777777" w:rsidR="000C045A" w:rsidRPr="007F13FD" w:rsidRDefault="00DB0AA3">
      <w:pPr>
        <w:spacing w:after="120" w:line="360" w:lineRule="auto"/>
        <w:jc w:val="both"/>
        <w:rPr>
          <w:lang w:val="el-GR"/>
        </w:rPr>
      </w:pPr>
      <w:r w:rsidRPr="00BF0161">
        <w:rPr>
          <w:b/>
          <w:lang w:val="el-GR"/>
        </w:rPr>
        <w:t xml:space="preserve">Οισοφαγική στένωση: </w:t>
      </w:r>
      <w:r w:rsidRPr="00BF0161">
        <w:rPr>
          <w:lang w:val="el-GR"/>
        </w:rPr>
        <w:t xml:space="preserve">Η οισοφαγική στένωση είναι η </w:t>
      </w:r>
      <w:proofErr w:type="spellStart"/>
      <w:r w:rsidRPr="00BF0161">
        <w:rPr>
          <w:lang w:val="el-GR"/>
        </w:rPr>
        <w:t>στένευση</w:t>
      </w:r>
      <w:proofErr w:type="spellEnd"/>
      <w:r w:rsidRPr="00BF0161">
        <w:rPr>
          <w:lang w:val="el-GR"/>
        </w:rPr>
        <w:t xml:space="preserve"> του οισο</w:t>
      </w:r>
      <w:r w:rsidR="000C231A" w:rsidRPr="00BF0161">
        <w:rPr>
          <w:lang w:val="el-GR"/>
        </w:rPr>
        <w:t>φ</w:t>
      </w:r>
      <w:r w:rsidRPr="00BF0161">
        <w:rPr>
          <w:lang w:val="el-GR"/>
        </w:rPr>
        <w:t>αγικού σωλήνα. Συνήθως, οι στερεές ή ινώδεις τροφές είναι οι κύριες αιτίες για δυσφαγία. Παρόλα αυτά, έχουν καταγραφεί ασθενείς με δυσκολίες κατάποσης μαλακών τροφών. Καθώς η οισοφαγική οδός στενεύει, κάποιοι βλωμοί πιθανών να είναι μεγαλύτεροι και να μείνουν κατά μήκος της. Λόγοι για να προκληθεί η οισοφαγική στένωση μπορεί να είναι δακτύλιοι βλεννογόνου, καλοήθεις στενώσεις και κακοήθεις όγκοι (</w:t>
      </w:r>
      <w:proofErr w:type="spellStart"/>
      <w:r>
        <w:rPr>
          <w:lang w:val="en-US"/>
        </w:rPr>
        <w:t>Groher</w:t>
      </w:r>
      <w:proofErr w:type="spellEnd"/>
      <w:r w:rsidRPr="00BF0161">
        <w:rPr>
          <w:lang w:val="el-GR"/>
        </w:rPr>
        <w:t>, 1997).</w:t>
      </w:r>
    </w:p>
    <w:p w14:paraId="47EA4625" w14:textId="77777777" w:rsidR="000C045A" w:rsidRDefault="000C045A">
      <w:pPr>
        <w:spacing w:after="120" w:line="360" w:lineRule="auto"/>
        <w:jc w:val="both"/>
        <w:rPr>
          <w:b/>
          <w:lang w:val="el-GR"/>
        </w:rPr>
      </w:pPr>
    </w:p>
    <w:p w14:paraId="0191DE4D" w14:textId="77777777" w:rsidR="00146CE2" w:rsidRPr="00456D14" w:rsidRDefault="00DB0AA3" w:rsidP="00456D14">
      <w:pPr>
        <w:pStyle w:val="2"/>
        <w:spacing w:before="0" w:line="360" w:lineRule="auto"/>
        <w:rPr>
          <w:b/>
        </w:rPr>
      </w:pPr>
      <w:bookmarkStart w:id="21" w:name="_Toc493323967"/>
      <w:r w:rsidRPr="00456D14">
        <w:rPr>
          <w:b/>
        </w:rPr>
        <w:lastRenderedPageBreak/>
        <w:t>1.3.4 Ψυχογενή αίτια δυσφαγίας</w:t>
      </w:r>
      <w:bookmarkEnd w:id="21"/>
      <w:r w:rsidRPr="00456D14">
        <w:rPr>
          <w:b/>
        </w:rPr>
        <w:t xml:space="preserve"> </w:t>
      </w:r>
    </w:p>
    <w:p w14:paraId="5409CFD1" w14:textId="77777777" w:rsidR="00146CE2" w:rsidRPr="00BF0161" w:rsidRDefault="00DB0AA3">
      <w:pPr>
        <w:spacing w:after="120" w:line="360" w:lineRule="auto"/>
        <w:jc w:val="both"/>
        <w:rPr>
          <w:lang w:val="el-GR"/>
        </w:rPr>
      </w:pPr>
      <w:r w:rsidRPr="00BF0161">
        <w:rPr>
          <w:lang w:val="el-GR"/>
        </w:rPr>
        <w:t xml:space="preserve">Πολλά άτομα που πάσχουν από δυσφαγία βιώνουν συναισθηματικό στρες. Ωστόσο, στα άτομα με ψυχογενή δυσφαγία, η διαταραχή τους οφείλεται στην νοητική τους κατάσταση ως τμήμα εσωτερικού συνδρόμου (Μεσσήνης &amp; Αντωνιάδης, 2010). Η κλινική εικόνα αυτών των ασθενών, συχνά παραπέμπει σε </w:t>
      </w:r>
      <w:proofErr w:type="spellStart"/>
      <w:r w:rsidRPr="00BF0161">
        <w:rPr>
          <w:lang w:val="el-GR"/>
        </w:rPr>
        <w:t>νευρογενή</w:t>
      </w:r>
      <w:proofErr w:type="spellEnd"/>
      <w:r w:rsidRPr="00BF0161">
        <w:rPr>
          <w:lang w:val="el-GR"/>
        </w:rPr>
        <w:t xml:space="preserve"> δυσφαγία, χωρίς όμως αυτή να υφίσταται (</w:t>
      </w:r>
      <w:proofErr w:type="spellStart"/>
      <w:r>
        <w:rPr>
          <w:lang w:val="en-US"/>
        </w:rPr>
        <w:t>Groher</w:t>
      </w:r>
      <w:proofErr w:type="spellEnd"/>
      <w:r w:rsidRPr="00BF0161">
        <w:rPr>
          <w:lang w:val="el-GR"/>
        </w:rPr>
        <w:t xml:space="preserve">, 1997). Ένα από τα συμπτώματα της ψυχογενής είναι η άρνηση λήψης τροφής λόγω αίσθησης παρεμπόδισης στο λαιμό (Μεσσήνης &amp; Αντωνιάδης, 2010), όπως και η </w:t>
      </w:r>
      <w:proofErr w:type="spellStart"/>
      <w:r w:rsidRPr="00BF0161">
        <w:rPr>
          <w:lang w:val="el-GR"/>
        </w:rPr>
        <w:t>φαγοφοβία</w:t>
      </w:r>
      <w:proofErr w:type="spellEnd"/>
      <w:r w:rsidRPr="00BF0161">
        <w:rPr>
          <w:lang w:val="el-GR"/>
        </w:rPr>
        <w:t xml:space="preserve">-φόβος κατάποσης ή </w:t>
      </w:r>
      <w:proofErr w:type="spellStart"/>
      <w:r w:rsidRPr="00BF0161">
        <w:rPr>
          <w:lang w:val="el-GR"/>
        </w:rPr>
        <w:t>εισρόφησης</w:t>
      </w:r>
      <w:proofErr w:type="spellEnd"/>
      <w:r w:rsidRPr="00BF0161">
        <w:rPr>
          <w:lang w:val="el-GR"/>
        </w:rPr>
        <w:t xml:space="preserve"> (</w:t>
      </w:r>
      <w:proofErr w:type="spellStart"/>
      <w:r>
        <w:rPr>
          <w:lang w:val="en-US"/>
        </w:rPr>
        <w:t>Bigenzahn</w:t>
      </w:r>
      <w:proofErr w:type="spellEnd"/>
      <w:r w:rsidRPr="00BF0161">
        <w:rPr>
          <w:lang w:val="el-GR"/>
        </w:rPr>
        <w:t xml:space="preserve"> &amp; </w:t>
      </w:r>
      <w:proofErr w:type="spellStart"/>
      <w:r>
        <w:rPr>
          <w:lang w:val="en-US"/>
        </w:rPr>
        <w:t>Denk</w:t>
      </w:r>
      <w:proofErr w:type="spellEnd"/>
      <w:r w:rsidRPr="00BF0161">
        <w:rPr>
          <w:lang w:val="el-GR"/>
        </w:rPr>
        <w:t>, 2007). Δυσκολία ή αδυναμία στην κατάποση σιέλου δεν παρατηρείται (</w:t>
      </w:r>
      <w:bookmarkStart w:id="22" w:name="_Hlk492298401"/>
      <w:r w:rsidRPr="00BF0161">
        <w:rPr>
          <w:lang w:val="el-GR"/>
        </w:rPr>
        <w:t>Μεσσήνης &amp; Αντωνιάδης, 2010</w:t>
      </w:r>
      <w:bookmarkEnd w:id="22"/>
      <w:r w:rsidRPr="00BF0161">
        <w:rPr>
          <w:lang w:val="el-GR"/>
        </w:rPr>
        <w:t>). Οι ασθενείς δεν  είναι απαραίτητο να έχουν ιατρικό ιστορικό ψυχολογικών προβλημάτων (</w:t>
      </w:r>
      <w:proofErr w:type="spellStart"/>
      <w:r>
        <w:rPr>
          <w:lang w:val="en-US"/>
        </w:rPr>
        <w:t>Groher</w:t>
      </w:r>
      <w:proofErr w:type="spellEnd"/>
      <w:r w:rsidRPr="00BF0161">
        <w:rPr>
          <w:lang w:val="el-GR"/>
        </w:rPr>
        <w:t>, 1997).</w:t>
      </w:r>
    </w:p>
    <w:p w14:paraId="17766656" w14:textId="77777777" w:rsidR="008A3DF9" w:rsidRPr="00DA4172" w:rsidRDefault="008A3DF9">
      <w:pPr>
        <w:spacing w:after="120" w:line="360" w:lineRule="auto"/>
        <w:jc w:val="both"/>
        <w:rPr>
          <w:b/>
          <w:sz w:val="28"/>
          <w:lang w:val="el-GR"/>
        </w:rPr>
      </w:pPr>
    </w:p>
    <w:p w14:paraId="3440B547" w14:textId="77777777" w:rsidR="00574E91" w:rsidRDefault="00574E91">
      <w:pPr>
        <w:spacing w:after="120" w:line="360" w:lineRule="auto"/>
        <w:jc w:val="both"/>
        <w:rPr>
          <w:b/>
          <w:sz w:val="28"/>
          <w:lang w:val="el-GR"/>
        </w:rPr>
      </w:pPr>
    </w:p>
    <w:p w14:paraId="31773BF0" w14:textId="77777777" w:rsidR="00574E91" w:rsidRDefault="00574E91">
      <w:pPr>
        <w:spacing w:after="120" w:line="360" w:lineRule="auto"/>
        <w:jc w:val="both"/>
        <w:rPr>
          <w:b/>
          <w:sz w:val="28"/>
          <w:lang w:val="el-GR"/>
        </w:rPr>
      </w:pPr>
    </w:p>
    <w:p w14:paraId="4643232E" w14:textId="77777777" w:rsidR="00574E91" w:rsidRDefault="00574E91">
      <w:pPr>
        <w:spacing w:after="120" w:line="360" w:lineRule="auto"/>
        <w:jc w:val="both"/>
        <w:rPr>
          <w:b/>
          <w:sz w:val="28"/>
          <w:lang w:val="el-GR"/>
        </w:rPr>
      </w:pPr>
    </w:p>
    <w:p w14:paraId="18A97002" w14:textId="77777777" w:rsidR="00574E91" w:rsidRDefault="00574E91">
      <w:pPr>
        <w:spacing w:after="120" w:line="360" w:lineRule="auto"/>
        <w:jc w:val="both"/>
        <w:rPr>
          <w:b/>
          <w:sz w:val="28"/>
          <w:lang w:val="el-GR"/>
        </w:rPr>
      </w:pPr>
    </w:p>
    <w:p w14:paraId="373ABD77" w14:textId="77777777" w:rsidR="00574E91" w:rsidRDefault="00574E91">
      <w:pPr>
        <w:spacing w:after="120" w:line="360" w:lineRule="auto"/>
        <w:jc w:val="both"/>
        <w:rPr>
          <w:b/>
          <w:sz w:val="28"/>
          <w:lang w:val="el-GR"/>
        </w:rPr>
      </w:pPr>
    </w:p>
    <w:p w14:paraId="638355AC" w14:textId="77777777" w:rsidR="00146CE2" w:rsidRPr="00456D14" w:rsidRDefault="00DB0AA3" w:rsidP="00456D14">
      <w:pPr>
        <w:pStyle w:val="2"/>
        <w:spacing w:before="0" w:line="360" w:lineRule="auto"/>
        <w:rPr>
          <w:b/>
          <w:sz w:val="28"/>
        </w:rPr>
      </w:pPr>
      <w:bookmarkStart w:id="23" w:name="_Toc493323968"/>
      <w:r w:rsidRPr="00456D14">
        <w:rPr>
          <w:b/>
          <w:sz w:val="28"/>
        </w:rPr>
        <w:t>1.4 Κλινική εικόνα</w:t>
      </w:r>
      <w:bookmarkEnd w:id="23"/>
    </w:p>
    <w:p w14:paraId="407A805A" w14:textId="77777777" w:rsidR="00146CE2" w:rsidRDefault="00DB0AA3">
      <w:pPr>
        <w:spacing w:after="120" w:line="360" w:lineRule="auto"/>
        <w:jc w:val="both"/>
      </w:pPr>
      <w:r w:rsidRPr="00BF0161">
        <w:rPr>
          <w:lang w:val="el-GR"/>
        </w:rPr>
        <w:t xml:space="preserve">Η κλινική εικόνα, δηλαδή τα συμπτώματα που παρουσιάζει ένας ασθενής, είναι ένας σημαντικός παράγοντας που καθοδηγεί τους ειδικούς και βοηθά στην διάγνωση της ασθένειας. Όσον αφορά την δυσφαγία η κλινική εικόνα ποικίλει και διαφοροποιείται από άτομο σε άτομο. </w:t>
      </w:r>
      <w:proofErr w:type="spellStart"/>
      <w:r>
        <w:t>Κά</w:t>
      </w:r>
      <w:proofErr w:type="spellEnd"/>
      <w:r>
        <w:t xml:space="preserve">ποια από τα </w:t>
      </w:r>
      <w:proofErr w:type="spellStart"/>
      <w:r>
        <w:t>συμ</w:t>
      </w:r>
      <w:proofErr w:type="spellEnd"/>
      <w:r>
        <w:t>πτώματα μπ</w:t>
      </w:r>
      <w:proofErr w:type="spellStart"/>
      <w:r>
        <w:t>ορεί</w:t>
      </w:r>
      <w:proofErr w:type="spellEnd"/>
      <w:r>
        <w:t xml:space="preserve"> να </w:t>
      </w:r>
      <w:proofErr w:type="spellStart"/>
      <w:r>
        <w:t>είν</w:t>
      </w:r>
      <w:proofErr w:type="spellEnd"/>
      <w:r>
        <w:t>αι:</w:t>
      </w:r>
    </w:p>
    <w:p w14:paraId="369AC082" w14:textId="77777777" w:rsidR="00146CE2" w:rsidRDefault="00146CE2">
      <w:pPr>
        <w:spacing w:after="120" w:line="360" w:lineRule="auto"/>
        <w:jc w:val="both"/>
      </w:pPr>
    </w:p>
    <w:tbl>
      <w:tblPr>
        <w:tblW w:w="0" w:type="auto"/>
        <w:tblInd w:w="10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firstRow="1" w:lastRow="0" w:firstColumn="1" w:lastColumn="0" w:noHBand="0" w:noVBand="1"/>
      </w:tblPr>
      <w:tblGrid>
        <w:gridCol w:w="5250"/>
        <w:gridCol w:w="3527"/>
      </w:tblGrid>
      <w:tr w:rsidR="00A87AEA" w14:paraId="541558A9" w14:textId="77777777" w:rsidTr="00A87AEA">
        <w:trPr>
          <w:trHeight w:val="674"/>
        </w:trPr>
        <w:tc>
          <w:tcPr>
            <w:tcW w:w="525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9D7FD76" w14:textId="77777777" w:rsidR="00A87AEA" w:rsidRPr="00BF0161" w:rsidRDefault="00A87AEA">
            <w:pPr>
              <w:spacing w:line="360" w:lineRule="auto"/>
              <w:jc w:val="both"/>
              <w:rPr>
                <w:lang w:val="el-GR"/>
              </w:rPr>
            </w:pPr>
            <w:r w:rsidRPr="00BF0161">
              <w:rPr>
                <w:lang w:val="el-GR"/>
              </w:rPr>
              <w:t>Δυσκολία μάσησης (πχ. διαφυγή τροφής από τα χείλη)</w:t>
            </w:r>
          </w:p>
        </w:tc>
        <w:tc>
          <w:tcPr>
            <w:tcW w:w="3527" w:type="dxa"/>
            <w:tcBorders>
              <w:top w:val="single" w:sz="4" w:space="0" w:color="000001"/>
              <w:left w:val="single" w:sz="4" w:space="0" w:color="000001"/>
              <w:bottom w:val="single" w:sz="4" w:space="0" w:color="000001"/>
              <w:right w:val="single" w:sz="4" w:space="0" w:color="000001"/>
            </w:tcBorders>
          </w:tcPr>
          <w:p w14:paraId="1E238796" w14:textId="77777777" w:rsidR="00A87AEA" w:rsidRDefault="00A87AEA">
            <w:pPr>
              <w:spacing w:line="360" w:lineRule="auto"/>
              <w:jc w:val="both"/>
            </w:pPr>
            <w:proofErr w:type="spellStart"/>
            <w:r>
              <w:t>Βήχ</w:t>
            </w:r>
            <w:proofErr w:type="spellEnd"/>
            <w:r>
              <w:t>ας και π</w:t>
            </w:r>
            <w:proofErr w:type="spellStart"/>
            <w:r>
              <w:t>νιγμός</w:t>
            </w:r>
            <w:proofErr w:type="spellEnd"/>
          </w:p>
        </w:tc>
      </w:tr>
      <w:tr w:rsidR="00A87AEA" w:rsidRPr="000E47F6" w14:paraId="16999E38" w14:textId="77777777" w:rsidTr="00A87AEA">
        <w:trPr>
          <w:trHeight w:val="213"/>
        </w:trPr>
        <w:tc>
          <w:tcPr>
            <w:tcW w:w="525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1F73D0F" w14:textId="77777777" w:rsidR="00A87AEA" w:rsidRPr="00BF0161" w:rsidRDefault="00A87AEA">
            <w:pPr>
              <w:spacing w:line="360" w:lineRule="auto"/>
              <w:jc w:val="both"/>
              <w:rPr>
                <w:lang w:val="el-GR"/>
              </w:rPr>
            </w:pPr>
            <w:r w:rsidRPr="00BF0161">
              <w:rPr>
                <w:lang w:val="el-GR"/>
              </w:rPr>
              <w:t>Δυσκολία στην έναρξη της κατάποσης</w:t>
            </w:r>
          </w:p>
        </w:tc>
        <w:tc>
          <w:tcPr>
            <w:tcW w:w="3527" w:type="dxa"/>
            <w:tcBorders>
              <w:top w:val="single" w:sz="4" w:space="0" w:color="000001"/>
              <w:left w:val="single" w:sz="4" w:space="0" w:color="000001"/>
              <w:bottom w:val="single" w:sz="4" w:space="0" w:color="000001"/>
              <w:right w:val="single" w:sz="4" w:space="0" w:color="000001"/>
            </w:tcBorders>
          </w:tcPr>
          <w:p w14:paraId="14EE5759" w14:textId="77777777" w:rsidR="00A87AEA" w:rsidRPr="00BF0161" w:rsidRDefault="00A87AEA">
            <w:pPr>
              <w:spacing w:line="360" w:lineRule="auto"/>
              <w:jc w:val="both"/>
              <w:rPr>
                <w:lang w:val="el-GR"/>
              </w:rPr>
            </w:pPr>
            <w:r w:rsidRPr="00BF0161">
              <w:rPr>
                <w:lang w:val="el-GR"/>
              </w:rPr>
              <w:t>Βήχας ενώ δεν γίνεται σίτιση</w:t>
            </w:r>
          </w:p>
        </w:tc>
      </w:tr>
      <w:tr w:rsidR="00A87AEA" w14:paraId="385099CD" w14:textId="77777777" w:rsidTr="00A87AEA">
        <w:trPr>
          <w:trHeight w:val="480"/>
        </w:trPr>
        <w:tc>
          <w:tcPr>
            <w:tcW w:w="525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E577641" w14:textId="77777777" w:rsidR="00A87AEA" w:rsidRDefault="00A87AEA">
            <w:pPr>
              <w:spacing w:line="360" w:lineRule="auto"/>
              <w:jc w:val="both"/>
            </w:pPr>
            <w:proofErr w:type="spellStart"/>
            <w:r>
              <w:t>Σιελόρροι</w:t>
            </w:r>
            <w:proofErr w:type="spellEnd"/>
            <w:r>
              <w:t xml:space="preserve">α </w:t>
            </w:r>
          </w:p>
        </w:tc>
        <w:tc>
          <w:tcPr>
            <w:tcW w:w="3527" w:type="dxa"/>
            <w:tcBorders>
              <w:top w:val="single" w:sz="4" w:space="0" w:color="000001"/>
              <w:left w:val="single" w:sz="4" w:space="0" w:color="000001"/>
              <w:bottom w:val="single" w:sz="4" w:space="0" w:color="000001"/>
              <w:right w:val="single" w:sz="4" w:space="0" w:color="000001"/>
            </w:tcBorders>
          </w:tcPr>
          <w:p w14:paraId="1C606006" w14:textId="77777777" w:rsidR="00A87AEA" w:rsidRDefault="00A87AEA">
            <w:pPr>
              <w:spacing w:line="360" w:lineRule="auto"/>
              <w:jc w:val="both"/>
            </w:pPr>
            <w:r>
              <w:t>Πα</w:t>
            </w:r>
            <w:proofErr w:type="spellStart"/>
            <w:r>
              <w:t>λινδρόμηση</w:t>
            </w:r>
            <w:proofErr w:type="spellEnd"/>
          </w:p>
        </w:tc>
      </w:tr>
      <w:tr w:rsidR="00A87AEA" w14:paraId="7B2542DD" w14:textId="77777777" w:rsidTr="00A87AEA">
        <w:trPr>
          <w:trHeight w:val="339"/>
        </w:trPr>
        <w:tc>
          <w:tcPr>
            <w:tcW w:w="525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7291C3A" w14:textId="77777777" w:rsidR="00A87AEA" w:rsidRDefault="00A87AEA">
            <w:pPr>
              <w:spacing w:line="360" w:lineRule="auto"/>
              <w:jc w:val="both"/>
            </w:pPr>
            <w:proofErr w:type="spellStart"/>
            <w:r>
              <w:t>Ρινική</w:t>
            </w:r>
            <w:proofErr w:type="spellEnd"/>
            <w:r>
              <w:t xml:space="preserve"> ανα</w:t>
            </w:r>
            <w:proofErr w:type="spellStart"/>
            <w:r>
              <w:t>ρρόφηση</w:t>
            </w:r>
            <w:proofErr w:type="spellEnd"/>
          </w:p>
        </w:tc>
        <w:tc>
          <w:tcPr>
            <w:tcW w:w="3527" w:type="dxa"/>
            <w:tcBorders>
              <w:top w:val="single" w:sz="4" w:space="0" w:color="000001"/>
              <w:left w:val="single" w:sz="4" w:space="0" w:color="000001"/>
              <w:bottom w:val="single" w:sz="4" w:space="0" w:color="000001"/>
              <w:right w:val="single" w:sz="4" w:space="0" w:color="000001"/>
            </w:tcBorders>
          </w:tcPr>
          <w:p w14:paraId="4F2C8CE0" w14:textId="77777777" w:rsidR="00A87AEA" w:rsidRDefault="00A87AEA">
            <w:pPr>
              <w:spacing w:line="360" w:lineRule="auto"/>
              <w:jc w:val="both"/>
            </w:pPr>
            <w:proofErr w:type="spellStart"/>
            <w:r>
              <w:t>Χάσιμο</w:t>
            </w:r>
            <w:proofErr w:type="spellEnd"/>
            <w:r>
              <w:t xml:space="preserve"> β</w:t>
            </w:r>
            <w:proofErr w:type="spellStart"/>
            <w:r>
              <w:t>άρους</w:t>
            </w:r>
            <w:proofErr w:type="spellEnd"/>
          </w:p>
        </w:tc>
      </w:tr>
      <w:tr w:rsidR="00A87AEA" w14:paraId="64956BE9" w14:textId="77777777" w:rsidTr="00A87AEA">
        <w:trPr>
          <w:trHeight w:val="466"/>
        </w:trPr>
        <w:tc>
          <w:tcPr>
            <w:tcW w:w="525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F832227" w14:textId="77777777" w:rsidR="00A87AEA" w:rsidRDefault="00A87AEA">
            <w:pPr>
              <w:spacing w:line="360" w:lineRule="auto"/>
              <w:jc w:val="both"/>
            </w:pPr>
            <w:r>
              <w:t>Κα</w:t>
            </w:r>
            <w:proofErr w:type="spellStart"/>
            <w:r>
              <w:t>θυστέρηση</w:t>
            </w:r>
            <w:proofErr w:type="spellEnd"/>
            <w:r>
              <w:t xml:space="preserve"> κα</w:t>
            </w:r>
            <w:proofErr w:type="spellStart"/>
            <w:r>
              <w:t>τά</w:t>
            </w:r>
            <w:proofErr w:type="spellEnd"/>
            <w:r>
              <w:t>ποσης</w:t>
            </w:r>
          </w:p>
        </w:tc>
        <w:tc>
          <w:tcPr>
            <w:tcW w:w="3527" w:type="dxa"/>
            <w:tcBorders>
              <w:top w:val="single" w:sz="4" w:space="0" w:color="000001"/>
              <w:left w:val="single" w:sz="4" w:space="0" w:color="000001"/>
              <w:bottom w:val="single" w:sz="4" w:space="0" w:color="000001"/>
              <w:right w:val="single" w:sz="4" w:space="0" w:color="000001"/>
            </w:tcBorders>
          </w:tcPr>
          <w:p w14:paraId="44C21466" w14:textId="77777777" w:rsidR="00A87AEA" w:rsidRDefault="00A87AEA">
            <w:pPr>
              <w:spacing w:line="360" w:lineRule="auto"/>
              <w:jc w:val="both"/>
            </w:pPr>
          </w:p>
        </w:tc>
      </w:tr>
    </w:tbl>
    <w:p w14:paraId="5359C833" w14:textId="77777777" w:rsidR="00146CE2" w:rsidRPr="00BF0161" w:rsidRDefault="00DB0AA3">
      <w:pPr>
        <w:spacing w:after="120" w:line="360" w:lineRule="auto"/>
        <w:jc w:val="both"/>
        <w:rPr>
          <w:lang w:val="el-GR"/>
        </w:rPr>
      </w:pPr>
      <w:r w:rsidRPr="00BF0161">
        <w:rPr>
          <w:b/>
          <w:lang w:val="el-GR"/>
        </w:rPr>
        <w:t>Πίνακας 1.5:</w:t>
      </w:r>
      <w:r w:rsidRPr="00BF0161">
        <w:rPr>
          <w:lang w:val="el-GR"/>
        </w:rPr>
        <w:t xml:space="preserve"> Συμπτώματα δυσφαγίας/ Πηγή: </w:t>
      </w:r>
      <w:proofErr w:type="spellStart"/>
      <w:r>
        <w:rPr>
          <w:lang w:val="en-US"/>
        </w:rPr>
        <w:t>Grary</w:t>
      </w:r>
      <w:proofErr w:type="spellEnd"/>
      <w:r w:rsidRPr="00BF0161">
        <w:rPr>
          <w:lang w:val="el-GR"/>
        </w:rPr>
        <w:t xml:space="preserve"> &amp; </w:t>
      </w:r>
      <w:proofErr w:type="spellStart"/>
      <w:r>
        <w:rPr>
          <w:lang w:val="en-US"/>
        </w:rPr>
        <w:t>Groher</w:t>
      </w:r>
      <w:proofErr w:type="spellEnd"/>
      <w:r w:rsidRPr="00BF0161">
        <w:rPr>
          <w:lang w:val="el-GR"/>
        </w:rPr>
        <w:t xml:space="preserve"> (2003)</w:t>
      </w:r>
    </w:p>
    <w:p w14:paraId="36621E5A" w14:textId="77777777" w:rsidR="000C045A" w:rsidRDefault="000C045A">
      <w:pPr>
        <w:spacing w:after="120" w:line="360" w:lineRule="auto"/>
        <w:jc w:val="both"/>
        <w:rPr>
          <w:lang w:val="el-GR"/>
        </w:rPr>
      </w:pPr>
    </w:p>
    <w:p w14:paraId="6D3323A8" w14:textId="77777777" w:rsidR="00146CE2" w:rsidRPr="00BF0161" w:rsidRDefault="00B6035F">
      <w:pPr>
        <w:spacing w:after="120" w:line="360" w:lineRule="auto"/>
        <w:jc w:val="both"/>
        <w:rPr>
          <w:lang w:val="el-GR"/>
        </w:rPr>
      </w:pPr>
      <w:r>
        <w:rPr>
          <w:lang w:val="el-GR"/>
        </w:rPr>
        <w:lastRenderedPageBreak/>
        <w:t>Σε οποια</w:t>
      </w:r>
      <w:r w:rsidR="00DB0AA3" w:rsidRPr="00BF0161">
        <w:rPr>
          <w:lang w:val="el-GR"/>
        </w:rPr>
        <w:t>δήποτε φάση της κατάποσης μπορούν να προκληθούν διαταραχές. Παρακάτω παρατίθενται τα συμπτώματα δυσφαγίας ανά στάδιο- στοματικό, φαρυγγικό, οισοφαγικό.</w:t>
      </w:r>
    </w:p>
    <w:p w14:paraId="5DEBD060" w14:textId="77777777" w:rsidR="00146CE2" w:rsidRPr="00BF0161" w:rsidRDefault="00146CE2">
      <w:pPr>
        <w:spacing w:after="120" w:line="360" w:lineRule="auto"/>
        <w:jc w:val="both"/>
        <w:rPr>
          <w:lang w:val="el-GR"/>
        </w:rPr>
      </w:pPr>
    </w:p>
    <w:p w14:paraId="3AA5E5E4" w14:textId="77777777" w:rsidR="000C045A" w:rsidRPr="00DA4172" w:rsidRDefault="000C045A">
      <w:pPr>
        <w:spacing w:after="120" w:line="360" w:lineRule="auto"/>
        <w:jc w:val="both"/>
        <w:rPr>
          <w:b/>
          <w:lang w:val="el-GR"/>
        </w:rPr>
      </w:pPr>
    </w:p>
    <w:p w14:paraId="09712EB4" w14:textId="77777777" w:rsidR="00691113" w:rsidRPr="00456D14" w:rsidRDefault="00DB0AA3" w:rsidP="00456D14">
      <w:pPr>
        <w:pStyle w:val="2"/>
        <w:spacing w:before="0" w:line="360" w:lineRule="auto"/>
        <w:rPr>
          <w:b/>
        </w:rPr>
      </w:pPr>
      <w:bookmarkStart w:id="24" w:name="_Toc493323969"/>
      <w:r w:rsidRPr="00456D14">
        <w:rPr>
          <w:b/>
        </w:rPr>
        <w:t>1.4.1 Κλινική εικόνα στοματικού σταδίου</w:t>
      </w:r>
      <w:bookmarkEnd w:id="24"/>
    </w:p>
    <w:p w14:paraId="56195ED2" w14:textId="77777777" w:rsidR="00146CE2" w:rsidRDefault="00DB0AA3">
      <w:pPr>
        <w:pStyle w:val="a5"/>
        <w:numPr>
          <w:ilvl w:val="0"/>
          <w:numId w:val="2"/>
        </w:numPr>
        <w:spacing w:after="120" w:line="360" w:lineRule="auto"/>
        <w:jc w:val="both"/>
        <w:rPr>
          <w:rFonts w:ascii="Times New Roman" w:hAnsi="Times New Roman"/>
          <w:sz w:val="24"/>
        </w:rPr>
      </w:pPr>
      <w:r>
        <w:rPr>
          <w:rFonts w:ascii="Times New Roman" w:hAnsi="Times New Roman"/>
          <w:sz w:val="24"/>
        </w:rPr>
        <w:t>Αδυναμία συγκράτησης της τροφής στο πρόσθιο μέρος του στόματος, εξαιτίας μειωμένης σύγκλισης χειλιών.</w:t>
      </w:r>
    </w:p>
    <w:p w14:paraId="2657774E" w14:textId="77777777" w:rsidR="00146CE2" w:rsidRDefault="00DB0AA3">
      <w:pPr>
        <w:pStyle w:val="a5"/>
        <w:numPr>
          <w:ilvl w:val="0"/>
          <w:numId w:val="2"/>
        </w:numPr>
        <w:spacing w:after="120" w:line="360" w:lineRule="auto"/>
        <w:jc w:val="both"/>
        <w:rPr>
          <w:rFonts w:ascii="Times New Roman" w:hAnsi="Times New Roman"/>
          <w:sz w:val="24"/>
        </w:rPr>
      </w:pPr>
      <w:r>
        <w:rPr>
          <w:rFonts w:ascii="Times New Roman" w:hAnsi="Times New Roman"/>
          <w:sz w:val="24"/>
        </w:rPr>
        <w:t>Αδυναμία συγκράτησης του βλωμού ,εξαιτίας μειωμένης ικανότητας της γλώσσας  να τον μορφοποιήσει. Μπορεί να υπάρξει πρόωρη διαφυγή τροφής και ρινική αναγωγή.</w:t>
      </w:r>
    </w:p>
    <w:p w14:paraId="0488BD16" w14:textId="77777777" w:rsidR="00146CE2" w:rsidRDefault="00DB0AA3">
      <w:pPr>
        <w:pStyle w:val="a5"/>
        <w:numPr>
          <w:ilvl w:val="0"/>
          <w:numId w:val="2"/>
        </w:numPr>
        <w:spacing w:after="120" w:line="360" w:lineRule="auto"/>
        <w:jc w:val="both"/>
        <w:rPr>
          <w:rFonts w:ascii="Times New Roman" w:hAnsi="Times New Roman"/>
          <w:sz w:val="24"/>
        </w:rPr>
      </w:pPr>
      <w:r>
        <w:rPr>
          <w:rFonts w:ascii="Times New Roman" w:hAnsi="Times New Roman"/>
          <w:sz w:val="24"/>
        </w:rPr>
        <w:t xml:space="preserve">Αδυναμία σχηματισμού του βλωμού, λόγω μειωμένης κινητικότητας ή συγχρονισμού της γλώσσας. </w:t>
      </w:r>
    </w:p>
    <w:p w14:paraId="0CCAAEFD" w14:textId="77777777" w:rsidR="00146CE2" w:rsidRDefault="00DB0AA3">
      <w:pPr>
        <w:pStyle w:val="a5"/>
        <w:numPr>
          <w:ilvl w:val="0"/>
          <w:numId w:val="2"/>
        </w:numPr>
        <w:spacing w:after="120" w:line="360" w:lineRule="auto"/>
        <w:jc w:val="both"/>
        <w:rPr>
          <w:rFonts w:ascii="Times New Roman" w:hAnsi="Times New Roman"/>
          <w:sz w:val="24"/>
        </w:rPr>
      </w:pPr>
      <w:r>
        <w:rPr>
          <w:rFonts w:ascii="Times New Roman" w:hAnsi="Times New Roman"/>
          <w:sz w:val="24"/>
        </w:rPr>
        <w:t xml:space="preserve">Αποθήκευση τροφής στην πρόσθια </w:t>
      </w:r>
      <w:proofErr w:type="spellStart"/>
      <w:r>
        <w:rPr>
          <w:rFonts w:ascii="Times New Roman" w:hAnsi="Times New Roman"/>
          <w:sz w:val="24"/>
        </w:rPr>
        <w:t>φατνιοχειλική</w:t>
      </w:r>
      <w:proofErr w:type="spellEnd"/>
      <w:r>
        <w:rPr>
          <w:rFonts w:ascii="Times New Roman" w:hAnsi="Times New Roman"/>
          <w:sz w:val="24"/>
        </w:rPr>
        <w:t xml:space="preserve"> αύλακα, εξαιτίας μειωμένου τόνου των παρειών, χειλιών και προσώπου.</w:t>
      </w:r>
    </w:p>
    <w:p w14:paraId="56A7EA03" w14:textId="77777777" w:rsidR="00146CE2" w:rsidRDefault="00DB0AA3" w:rsidP="00A774FA">
      <w:pPr>
        <w:pStyle w:val="a5"/>
        <w:numPr>
          <w:ilvl w:val="0"/>
          <w:numId w:val="2"/>
        </w:numPr>
        <w:spacing w:after="120" w:line="360" w:lineRule="auto"/>
        <w:jc w:val="both"/>
        <w:rPr>
          <w:rFonts w:ascii="Times New Roman" w:hAnsi="Times New Roman"/>
          <w:sz w:val="24"/>
        </w:rPr>
      </w:pPr>
      <w:r>
        <w:rPr>
          <w:rFonts w:ascii="Times New Roman" w:hAnsi="Times New Roman"/>
          <w:sz w:val="24"/>
        </w:rPr>
        <w:lastRenderedPageBreak/>
        <w:t>Μη φυσιολογική θέση συγκράτησης του βλωμού, λόγω εξώθησης της γλώσσας και  μειωμένου ελέγχου της (</w:t>
      </w:r>
      <w:proofErr w:type="spellStart"/>
      <w:r>
        <w:rPr>
          <w:rFonts w:ascii="Times New Roman" w:hAnsi="Times New Roman"/>
          <w:sz w:val="24"/>
          <w:lang w:val="en-US"/>
        </w:rPr>
        <w:t>Logemann</w:t>
      </w:r>
      <w:proofErr w:type="spellEnd"/>
      <w:r>
        <w:rPr>
          <w:rFonts w:ascii="Times New Roman" w:hAnsi="Times New Roman"/>
          <w:sz w:val="24"/>
        </w:rPr>
        <w:t>, 1998</w:t>
      </w:r>
      <w:r w:rsidR="00A774FA" w:rsidRPr="00A774FA">
        <w:rPr>
          <w:rFonts w:ascii="Times New Roman" w:hAnsi="Times New Roman"/>
          <w:sz w:val="24"/>
        </w:rPr>
        <w:t>;</w:t>
      </w:r>
      <w:r w:rsidR="00A774FA" w:rsidRPr="00A774FA">
        <w:t xml:space="preserve"> </w:t>
      </w:r>
      <w:r w:rsidR="00A774FA" w:rsidRPr="00A774FA">
        <w:rPr>
          <w:rFonts w:ascii="Times New Roman" w:hAnsi="Times New Roman"/>
          <w:sz w:val="24"/>
        </w:rPr>
        <w:t>Μεσσήνης &amp; Αντωνιάδης, 2010</w:t>
      </w:r>
      <w:r>
        <w:rPr>
          <w:rFonts w:ascii="Times New Roman" w:hAnsi="Times New Roman"/>
          <w:sz w:val="24"/>
        </w:rPr>
        <w:t>).</w:t>
      </w:r>
    </w:p>
    <w:p w14:paraId="02C96796" w14:textId="77777777" w:rsidR="00E70A36" w:rsidRPr="002457E6" w:rsidRDefault="00A53327" w:rsidP="00A774FA">
      <w:pPr>
        <w:pStyle w:val="a5"/>
        <w:numPr>
          <w:ilvl w:val="0"/>
          <w:numId w:val="2"/>
        </w:numPr>
        <w:spacing w:after="120" w:line="360" w:lineRule="auto"/>
        <w:jc w:val="both"/>
        <w:rPr>
          <w:rFonts w:ascii="Times New Roman" w:hAnsi="Times New Roman"/>
          <w:sz w:val="24"/>
        </w:rPr>
      </w:pPr>
      <w:r>
        <w:rPr>
          <w:rFonts w:ascii="Times New Roman" w:hAnsi="Times New Roman"/>
          <w:sz w:val="24"/>
        </w:rPr>
        <w:t>Εκτεταμένη σιελόρροια.</w:t>
      </w:r>
    </w:p>
    <w:p w14:paraId="03978797" w14:textId="77777777" w:rsidR="002457E6" w:rsidRDefault="002457E6" w:rsidP="00A774FA">
      <w:pPr>
        <w:pStyle w:val="a5"/>
        <w:numPr>
          <w:ilvl w:val="0"/>
          <w:numId w:val="2"/>
        </w:numPr>
        <w:spacing w:after="120" w:line="360" w:lineRule="auto"/>
        <w:jc w:val="both"/>
        <w:rPr>
          <w:rFonts w:ascii="Times New Roman" w:hAnsi="Times New Roman"/>
          <w:sz w:val="24"/>
        </w:rPr>
      </w:pPr>
      <w:r>
        <w:rPr>
          <w:rFonts w:ascii="Times New Roman" w:hAnsi="Times New Roman"/>
          <w:sz w:val="24"/>
        </w:rPr>
        <w:t>Διαρροή φαγητού ή υγρών από τα στόμα κατά τη διάρκεια του γεύματος.</w:t>
      </w:r>
    </w:p>
    <w:p w14:paraId="673951C5" w14:textId="77777777" w:rsidR="002457E6" w:rsidRDefault="002457E6" w:rsidP="00A53327">
      <w:pPr>
        <w:pStyle w:val="a5"/>
        <w:numPr>
          <w:ilvl w:val="0"/>
          <w:numId w:val="2"/>
        </w:numPr>
        <w:spacing w:after="120" w:line="360" w:lineRule="auto"/>
        <w:jc w:val="both"/>
        <w:rPr>
          <w:rFonts w:ascii="Times New Roman" w:hAnsi="Times New Roman"/>
          <w:sz w:val="24"/>
        </w:rPr>
      </w:pPr>
      <w:r>
        <w:rPr>
          <w:rFonts w:ascii="Times New Roman" w:hAnsi="Times New Roman"/>
          <w:sz w:val="24"/>
        </w:rPr>
        <w:t>Επαναλαμβανόμενες προσπάθειες κατάποσης φαγητού και υγρού</w:t>
      </w:r>
      <w:r w:rsidR="00A53327">
        <w:rPr>
          <w:rFonts w:ascii="Times New Roman" w:hAnsi="Times New Roman"/>
          <w:sz w:val="24"/>
        </w:rPr>
        <w:t xml:space="preserve"> </w:t>
      </w:r>
      <w:r w:rsidR="00A53327" w:rsidRPr="00A53327">
        <w:rPr>
          <w:rFonts w:ascii="Times New Roman" w:hAnsi="Times New Roman"/>
          <w:sz w:val="24"/>
        </w:rPr>
        <w:t>(</w:t>
      </w:r>
      <w:proofErr w:type="spellStart"/>
      <w:r w:rsidR="00A53327" w:rsidRPr="00A53327">
        <w:rPr>
          <w:rFonts w:ascii="Times New Roman" w:hAnsi="Times New Roman"/>
          <w:sz w:val="24"/>
        </w:rPr>
        <w:t>Καμπανάρου</w:t>
      </w:r>
      <w:proofErr w:type="spellEnd"/>
      <w:r w:rsidR="00A53327" w:rsidRPr="00A53327">
        <w:rPr>
          <w:rFonts w:ascii="Times New Roman" w:hAnsi="Times New Roman"/>
          <w:sz w:val="24"/>
        </w:rPr>
        <w:t xml:space="preserve">, 2007; </w:t>
      </w:r>
      <w:proofErr w:type="spellStart"/>
      <w:r w:rsidR="00A53327" w:rsidRPr="00A53327">
        <w:rPr>
          <w:rFonts w:ascii="Times New Roman" w:hAnsi="Times New Roman"/>
          <w:sz w:val="24"/>
        </w:rPr>
        <w:t>Murry</w:t>
      </w:r>
      <w:proofErr w:type="spellEnd"/>
      <w:r w:rsidR="00A53327" w:rsidRPr="00A53327">
        <w:rPr>
          <w:rFonts w:ascii="Times New Roman" w:hAnsi="Times New Roman"/>
          <w:sz w:val="24"/>
        </w:rPr>
        <w:t xml:space="preserve"> &amp; </w:t>
      </w:r>
      <w:proofErr w:type="spellStart"/>
      <w:r w:rsidR="00A53327" w:rsidRPr="00A53327">
        <w:rPr>
          <w:rFonts w:ascii="Times New Roman" w:hAnsi="Times New Roman"/>
          <w:sz w:val="24"/>
        </w:rPr>
        <w:t>Carrau</w:t>
      </w:r>
      <w:proofErr w:type="spellEnd"/>
      <w:r w:rsidR="00A53327" w:rsidRPr="00A53327">
        <w:rPr>
          <w:rFonts w:ascii="Times New Roman" w:hAnsi="Times New Roman"/>
          <w:sz w:val="24"/>
        </w:rPr>
        <w:t xml:space="preserve">, 2014; </w:t>
      </w:r>
      <w:r w:rsidR="007C5E4C" w:rsidRPr="007C5E4C">
        <w:rPr>
          <w:rFonts w:ascii="Times New Roman" w:hAnsi="Times New Roman"/>
          <w:sz w:val="24"/>
          <w:lang w:val="en-US"/>
        </w:rPr>
        <w:t>Landis</w:t>
      </w:r>
      <w:r w:rsidR="007C5E4C" w:rsidRPr="007C5E4C">
        <w:rPr>
          <w:rFonts w:ascii="Times New Roman" w:hAnsi="Times New Roman"/>
          <w:sz w:val="24"/>
        </w:rPr>
        <w:t xml:space="preserve">, </w:t>
      </w:r>
      <w:r w:rsidR="007C5E4C" w:rsidRPr="007C5E4C">
        <w:rPr>
          <w:rFonts w:ascii="Times New Roman" w:hAnsi="Times New Roman"/>
          <w:sz w:val="24"/>
          <w:lang w:val="en-US"/>
        </w:rPr>
        <w:t>et</w:t>
      </w:r>
      <w:r w:rsidR="007C5E4C" w:rsidRPr="007C5E4C">
        <w:rPr>
          <w:rFonts w:ascii="Times New Roman" w:hAnsi="Times New Roman"/>
          <w:sz w:val="24"/>
        </w:rPr>
        <w:t xml:space="preserve"> </w:t>
      </w:r>
      <w:r w:rsidR="007C5E4C" w:rsidRPr="007C5E4C">
        <w:rPr>
          <w:rFonts w:ascii="Times New Roman" w:hAnsi="Times New Roman"/>
          <w:sz w:val="24"/>
          <w:lang w:val="en-US"/>
        </w:rPr>
        <w:t>al</w:t>
      </w:r>
      <w:r w:rsidR="007C5E4C" w:rsidRPr="007C5E4C">
        <w:rPr>
          <w:rFonts w:ascii="Times New Roman" w:hAnsi="Times New Roman"/>
          <w:sz w:val="24"/>
        </w:rPr>
        <w:t>, 2012)</w:t>
      </w:r>
    </w:p>
    <w:p w14:paraId="1D02DFF4" w14:textId="77777777" w:rsidR="00146CE2" w:rsidRDefault="00DB0AA3">
      <w:pPr>
        <w:pStyle w:val="a5"/>
        <w:numPr>
          <w:ilvl w:val="0"/>
          <w:numId w:val="2"/>
        </w:numPr>
        <w:spacing w:after="120" w:line="360" w:lineRule="auto"/>
        <w:jc w:val="both"/>
        <w:rPr>
          <w:rFonts w:ascii="Times New Roman" w:hAnsi="Times New Roman"/>
          <w:sz w:val="24"/>
        </w:rPr>
      </w:pPr>
      <w:r>
        <w:rPr>
          <w:rFonts w:ascii="Times New Roman" w:hAnsi="Times New Roman"/>
          <w:sz w:val="24"/>
        </w:rPr>
        <w:t>Λόγω μειωμένης κινητικότητας της κάτω γνάθου δεν είναι εφικτή η ευθυγράμμιση των δοντιών.</w:t>
      </w:r>
    </w:p>
    <w:p w14:paraId="125665B1" w14:textId="77777777" w:rsidR="00146CE2" w:rsidRDefault="00DB0AA3">
      <w:pPr>
        <w:pStyle w:val="a5"/>
        <w:numPr>
          <w:ilvl w:val="0"/>
          <w:numId w:val="2"/>
        </w:numPr>
        <w:spacing w:after="120" w:line="360" w:lineRule="auto"/>
        <w:jc w:val="both"/>
        <w:rPr>
          <w:rFonts w:ascii="Times New Roman" w:hAnsi="Times New Roman"/>
          <w:sz w:val="24"/>
        </w:rPr>
      </w:pPr>
      <w:r>
        <w:rPr>
          <w:rFonts w:ascii="Times New Roman" w:hAnsi="Times New Roman"/>
          <w:sz w:val="24"/>
        </w:rPr>
        <w:t>Καθυστέρηση έναρξης στοματικού σταδίου. Οι ασθενείς παρουσιάζουν απραξία κατάποσης, όπως και μειωμένη αισθητικότητα στοματικής κοιλότητας. Στα πλαίσια της απραξίας σημειώνονται διερευνητικές κινήσεις της γλώσσας στη προσπάθεια “ανακάλυψης” της τροφής, καθώς επίσης και αδυναμία οργάνωσης των κινήσεων της.</w:t>
      </w:r>
    </w:p>
    <w:p w14:paraId="1787E6CF" w14:textId="77777777" w:rsidR="00146CE2" w:rsidRDefault="00DB0AA3">
      <w:pPr>
        <w:pStyle w:val="a5"/>
        <w:numPr>
          <w:ilvl w:val="0"/>
          <w:numId w:val="2"/>
        </w:numPr>
        <w:spacing w:after="120" w:line="360" w:lineRule="auto"/>
        <w:jc w:val="both"/>
        <w:rPr>
          <w:rFonts w:ascii="Times New Roman" w:hAnsi="Times New Roman"/>
          <w:sz w:val="24"/>
        </w:rPr>
      </w:pPr>
      <w:r>
        <w:rPr>
          <w:rFonts w:ascii="Times New Roman" w:hAnsi="Times New Roman"/>
          <w:sz w:val="24"/>
        </w:rPr>
        <w:lastRenderedPageBreak/>
        <w:t>Εξώθηση της γλώσσας για την έναρξη της κατάποσης. Ασθενείς με δυσφαγία νευρολογικής αιτιολογίας εξωθούν την γλώσσα προς τους κοπτήρες σπρώχνοντας το φαγητό προς τα έξω.</w:t>
      </w:r>
    </w:p>
    <w:p w14:paraId="53AE4CD1" w14:textId="77777777" w:rsidR="00146CE2" w:rsidRDefault="00DB0AA3">
      <w:pPr>
        <w:pStyle w:val="a5"/>
        <w:numPr>
          <w:ilvl w:val="0"/>
          <w:numId w:val="2"/>
        </w:numPr>
        <w:spacing w:after="120" w:line="360" w:lineRule="auto"/>
        <w:jc w:val="both"/>
        <w:rPr>
          <w:rFonts w:ascii="Times New Roman" w:hAnsi="Times New Roman"/>
          <w:sz w:val="24"/>
        </w:rPr>
      </w:pPr>
      <w:r>
        <w:rPr>
          <w:rFonts w:ascii="Times New Roman" w:hAnsi="Times New Roman"/>
          <w:sz w:val="24"/>
        </w:rPr>
        <w:t xml:space="preserve">Δυσκολία κατάποσης, λόγω υπολειμμάτων τροφής σε ουλές της επιφάνειας της γλώσσας. </w:t>
      </w:r>
    </w:p>
    <w:p w14:paraId="60C5E1EA" w14:textId="77777777" w:rsidR="00146CE2" w:rsidRDefault="00DB0AA3">
      <w:pPr>
        <w:pStyle w:val="a5"/>
        <w:numPr>
          <w:ilvl w:val="0"/>
          <w:numId w:val="2"/>
        </w:numPr>
        <w:spacing w:after="120" w:line="360" w:lineRule="auto"/>
        <w:jc w:val="both"/>
        <w:rPr>
          <w:rFonts w:ascii="Times New Roman" w:hAnsi="Times New Roman"/>
          <w:sz w:val="24"/>
        </w:rPr>
      </w:pPr>
      <w:r>
        <w:rPr>
          <w:rFonts w:ascii="Times New Roman" w:hAnsi="Times New Roman"/>
          <w:sz w:val="24"/>
        </w:rPr>
        <w:t>Διαταραγμένες γλωσσικές συσπάσεις- δυσκολία συγχρονισμού των κινήσεων της γλώσσας.</w:t>
      </w:r>
    </w:p>
    <w:p w14:paraId="2278AEBE" w14:textId="77777777" w:rsidR="00146CE2" w:rsidRDefault="00DB0AA3">
      <w:pPr>
        <w:pStyle w:val="a5"/>
        <w:numPr>
          <w:ilvl w:val="0"/>
          <w:numId w:val="2"/>
        </w:numPr>
        <w:spacing w:after="120" w:line="360" w:lineRule="auto"/>
        <w:jc w:val="both"/>
        <w:rPr>
          <w:rFonts w:ascii="Times New Roman" w:hAnsi="Times New Roman"/>
          <w:sz w:val="24"/>
        </w:rPr>
      </w:pPr>
      <w:r>
        <w:rPr>
          <w:rFonts w:ascii="Times New Roman" w:hAnsi="Times New Roman"/>
          <w:sz w:val="24"/>
        </w:rPr>
        <w:t xml:space="preserve">Αδυναμία ανύψωσης της γλώσσας και ατελής επαφή της με την υπερώα με αποτέλεσμα την παραμονή υπολειμμάτων φαγητού </w:t>
      </w:r>
      <w:r w:rsidR="00690DB9">
        <w:rPr>
          <w:rFonts w:ascii="Times New Roman" w:hAnsi="Times New Roman"/>
          <w:sz w:val="24"/>
        </w:rPr>
        <w:t>σ</w:t>
      </w:r>
      <w:r>
        <w:rPr>
          <w:rFonts w:ascii="Times New Roman" w:hAnsi="Times New Roman"/>
          <w:sz w:val="24"/>
        </w:rPr>
        <w:t>την σκληρή υπερώα</w:t>
      </w:r>
    </w:p>
    <w:p w14:paraId="0AD4759C" w14:textId="77777777" w:rsidR="00146CE2" w:rsidRDefault="00DB0AA3">
      <w:pPr>
        <w:pStyle w:val="a5"/>
        <w:numPr>
          <w:ilvl w:val="0"/>
          <w:numId w:val="2"/>
        </w:numPr>
        <w:spacing w:after="120" w:line="360" w:lineRule="auto"/>
        <w:jc w:val="both"/>
        <w:rPr>
          <w:rFonts w:ascii="Times New Roman" w:hAnsi="Times New Roman"/>
          <w:sz w:val="24"/>
        </w:rPr>
      </w:pPr>
      <w:r>
        <w:rPr>
          <w:rFonts w:ascii="Times New Roman" w:hAnsi="Times New Roman"/>
          <w:sz w:val="24"/>
        </w:rPr>
        <w:t xml:space="preserve">Στη νόσο του </w:t>
      </w:r>
      <w:r>
        <w:rPr>
          <w:rFonts w:ascii="Times New Roman" w:hAnsi="Times New Roman"/>
          <w:sz w:val="24"/>
          <w:lang w:val="en-US"/>
        </w:rPr>
        <w:t>Parkinson</w:t>
      </w:r>
      <w:r>
        <w:rPr>
          <w:rFonts w:ascii="Times New Roman" w:hAnsi="Times New Roman"/>
          <w:sz w:val="24"/>
        </w:rPr>
        <w:t xml:space="preserve"> εκτελούνται επαναλαμβανόμενες κινήσεις της γλώσσας.</w:t>
      </w:r>
    </w:p>
    <w:p w14:paraId="13B09932" w14:textId="77777777" w:rsidR="00146CE2" w:rsidRDefault="00DB0AA3">
      <w:pPr>
        <w:pStyle w:val="a5"/>
        <w:numPr>
          <w:ilvl w:val="0"/>
          <w:numId w:val="2"/>
        </w:numPr>
        <w:spacing w:after="120" w:line="360" w:lineRule="auto"/>
        <w:jc w:val="both"/>
        <w:rPr>
          <w:rFonts w:ascii="Times New Roman" w:hAnsi="Times New Roman"/>
          <w:sz w:val="24"/>
        </w:rPr>
      </w:pPr>
      <w:r>
        <w:rPr>
          <w:rFonts w:ascii="Times New Roman" w:hAnsi="Times New Roman"/>
          <w:sz w:val="24"/>
        </w:rPr>
        <w:t>Αδυναμία ελέγχου τροφής και υγρών με αποτέλεσμα διαφυγή προς τον φάρυγγα.</w:t>
      </w:r>
    </w:p>
    <w:p w14:paraId="78F1DD7D" w14:textId="77777777" w:rsidR="00146CE2" w:rsidRDefault="00DB0AA3">
      <w:pPr>
        <w:pStyle w:val="a5"/>
        <w:numPr>
          <w:ilvl w:val="0"/>
          <w:numId w:val="2"/>
        </w:numPr>
        <w:spacing w:after="120" w:line="360" w:lineRule="auto"/>
        <w:jc w:val="both"/>
        <w:rPr>
          <w:rFonts w:ascii="Times New Roman" w:hAnsi="Times New Roman"/>
          <w:sz w:val="24"/>
        </w:rPr>
      </w:pPr>
      <w:r>
        <w:rPr>
          <w:rFonts w:ascii="Times New Roman" w:hAnsi="Times New Roman"/>
          <w:sz w:val="24"/>
        </w:rPr>
        <w:t>Λόγω φόβου αναγωγής, κάποιοι ασθενείς εκτελούν την κατάποσή τους τμηματικά κάνοντας διαδοχικές κινήσεις κατάποσης (</w:t>
      </w:r>
      <w:proofErr w:type="spellStart"/>
      <w:r w:rsidR="00CE08E7">
        <w:rPr>
          <w:rFonts w:ascii="Times New Roman" w:hAnsi="Times New Roman"/>
          <w:sz w:val="24"/>
          <w:lang w:val="en-US"/>
        </w:rPr>
        <w:t>Logeman</w:t>
      </w:r>
      <w:r w:rsidR="00A11DF4">
        <w:rPr>
          <w:rFonts w:ascii="Times New Roman" w:hAnsi="Times New Roman"/>
          <w:sz w:val="24"/>
          <w:lang w:val="en-US"/>
        </w:rPr>
        <w:t>n</w:t>
      </w:r>
      <w:proofErr w:type="spellEnd"/>
      <w:r w:rsidR="00CE08E7">
        <w:rPr>
          <w:rFonts w:ascii="Times New Roman" w:hAnsi="Times New Roman"/>
          <w:sz w:val="24"/>
        </w:rPr>
        <w:t xml:space="preserve">, </w:t>
      </w:r>
      <w:r w:rsidR="00CE08E7" w:rsidRPr="00CE08E7">
        <w:rPr>
          <w:rFonts w:ascii="Times New Roman" w:hAnsi="Times New Roman"/>
          <w:sz w:val="24"/>
        </w:rPr>
        <w:t>1998;</w:t>
      </w:r>
      <w:r w:rsidR="00CE08E7">
        <w:rPr>
          <w:rFonts w:ascii="Times New Roman" w:hAnsi="Times New Roman"/>
          <w:sz w:val="24"/>
        </w:rPr>
        <w:t xml:space="preserve"> </w:t>
      </w:r>
      <w:r>
        <w:rPr>
          <w:rFonts w:ascii="Times New Roman" w:hAnsi="Times New Roman"/>
          <w:sz w:val="24"/>
        </w:rPr>
        <w:t>Μεσσήνης &amp; Αντωνιάδης, 2010).</w:t>
      </w:r>
    </w:p>
    <w:p w14:paraId="71CB0BCE" w14:textId="77777777" w:rsidR="00146CE2" w:rsidRPr="00BF0161" w:rsidRDefault="00146CE2">
      <w:pPr>
        <w:spacing w:after="120" w:line="360" w:lineRule="auto"/>
        <w:jc w:val="both"/>
        <w:rPr>
          <w:lang w:val="el-GR"/>
        </w:rPr>
      </w:pPr>
    </w:p>
    <w:p w14:paraId="1590C05F" w14:textId="77777777" w:rsidR="00146CE2" w:rsidRPr="00DE400E" w:rsidRDefault="00DB0AA3" w:rsidP="00DE400E">
      <w:pPr>
        <w:pStyle w:val="2"/>
        <w:spacing w:before="0" w:line="360" w:lineRule="auto"/>
        <w:rPr>
          <w:b/>
        </w:rPr>
      </w:pPr>
      <w:bookmarkStart w:id="25" w:name="_Toc493323970"/>
      <w:r w:rsidRPr="00DE400E">
        <w:rPr>
          <w:b/>
        </w:rPr>
        <w:lastRenderedPageBreak/>
        <w:t>1.4.2 Κλινική εικόνα φαρυγγικού σταδίου</w:t>
      </w:r>
      <w:bookmarkEnd w:id="25"/>
    </w:p>
    <w:p w14:paraId="6D30AA97" w14:textId="77777777" w:rsidR="00146CE2" w:rsidRDefault="00DB0AA3">
      <w:pPr>
        <w:pStyle w:val="a5"/>
        <w:numPr>
          <w:ilvl w:val="0"/>
          <w:numId w:val="3"/>
        </w:numPr>
        <w:spacing w:after="120" w:line="360" w:lineRule="auto"/>
        <w:jc w:val="both"/>
        <w:rPr>
          <w:rFonts w:ascii="Times New Roman" w:hAnsi="Times New Roman"/>
          <w:sz w:val="24"/>
        </w:rPr>
      </w:pPr>
      <w:r>
        <w:rPr>
          <w:rFonts w:ascii="Times New Roman" w:hAnsi="Times New Roman"/>
          <w:sz w:val="24"/>
        </w:rPr>
        <w:t xml:space="preserve">Παλινδρόμηση υλικού προς τη μύτη κατά τη διάρκεια της κατάποσης, λόγω μειωμένης </w:t>
      </w:r>
      <w:proofErr w:type="spellStart"/>
      <w:r>
        <w:rPr>
          <w:rFonts w:ascii="Times New Roman" w:hAnsi="Times New Roman"/>
          <w:sz w:val="24"/>
        </w:rPr>
        <w:t>ιστιοφαρυγγικής</w:t>
      </w:r>
      <w:proofErr w:type="spellEnd"/>
      <w:r>
        <w:rPr>
          <w:rFonts w:ascii="Times New Roman" w:hAnsi="Times New Roman"/>
          <w:sz w:val="24"/>
        </w:rPr>
        <w:t xml:space="preserve"> φραγής</w:t>
      </w:r>
    </w:p>
    <w:p w14:paraId="7F0D57E4" w14:textId="77777777" w:rsidR="00146CE2" w:rsidRDefault="00DB0AA3">
      <w:pPr>
        <w:pStyle w:val="a5"/>
        <w:numPr>
          <w:ilvl w:val="0"/>
          <w:numId w:val="3"/>
        </w:numPr>
        <w:spacing w:after="120" w:line="360" w:lineRule="auto"/>
        <w:jc w:val="both"/>
        <w:rPr>
          <w:rFonts w:ascii="Times New Roman" w:hAnsi="Times New Roman"/>
          <w:sz w:val="24"/>
        </w:rPr>
      </w:pPr>
      <w:proofErr w:type="spellStart"/>
      <w:r>
        <w:rPr>
          <w:rFonts w:ascii="Times New Roman" w:hAnsi="Times New Roman"/>
          <w:sz w:val="24"/>
        </w:rPr>
        <w:t>Ψευδοεπιγλωττίδα</w:t>
      </w:r>
      <w:proofErr w:type="spellEnd"/>
      <w:r>
        <w:rPr>
          <w:rFonts w:ascii="Times New Roman" w:hAnsi="Times New Roman"/>
          <w:sz w:val="24"/>
        </w:rPr>
        <w:t>. Μετά από ολική λαρυγγεκτομή σε ορισμένους ασθενείς σχηματίζεται μια πτύχωση της βλεννογόνου που μοιάζει με επιγλωττίδα, στη βάση της γλώσσας. Όταν ο ασθενής προσπαθεί να καταπιεί, οι φαρυγγικοί σφιγκτήρες πιέζουν αυτή την πτύχωση προς το φάρυγγα, με αποτέλεσμα να στενεύει η είσοδός του.</w:t>
      </w:r>
    </w:p>
    <w:p w14:paraId="3DF1BB8A" w14:textId="77777777" w:rsidR="00146CE2" w:rsidRDefault="00DB0AA3">
      <w:pPr>
        <w:pStyle w:val="a5"/>
        <w:numPr>
          <w:ilvl w:val="0"/>
          <w:numId w:val="3"/>
        </w:numPr>
        <w:spacing w:after="120" w:line="360" w:lineRule="auto"/>
        <w:jc w:val="both"/>
        <w:rPr>
          <w:rFonts w:ascii="Times New Roman" w:hAnsi="Times New Roman"/>
          <w:sz w:val="24"/>
        </w:rPr>
      </w:pPr>
      <w:r>
        <w:rPr>
          <w:rFonts w:ascii="Times New Roman" w:hAnsi="Times New Roman"/>
          <w:sz w:val="24"/>
        </w:rPr>
        <w:t xml:space="preserve">Σπονδυλικά οστεόφυτα. Σε ορισμένους ασθενείς έχουν αρκετά μεγάλο μέγεθος δίνοντας αίσθηση παρεμπόδισης και άλλες φορές διαταράσσουν την κατάποση. </w:t>
      </w:r>
    </w:p>
    <w:p w14:paraId="7DB484C1" w14:textId="77777777" w:rsidR="00146CE2" w:rsidRDefault="00DB0AA3">
      <w:pPr>
        <w:pStyle w:val="a5"/>
        <w:numPr>
          <w:ilvl w:val="0"/>
          <w:numId w:val="3"/>
        </w:numPr>
        <w:spacing w:after="120" w:line="360" w:lineRule="auto"/>
        <w:jc w:val="both"/>
        <w:rPr>
          <w:rFonts w:ascii="Times New Roman" w:hAnsi="Times New Roman"/>
          <w:sz w:val="24"/>
        </w:rPr>
      </w:pPr>
      <w:r>
        <w:rPr>
          <w:rFonts w:ascii="Times New Roman" w:hAnsi="Times New Roman"/>
          <w:sz w:val="24"/>
        </w:rPr>
        <w:t xml:space="preserve">Υπολείμματα στη μια πλευρά του φάρυγγα και σε απιοειδείς κόλπους, λόγω μονόπλευρης αδυναμίας των φαρυγγικών τοιχωμάτων. </w:t>
      </w:r>
    </w:p>
    <w:p w14:paraId="1155E856" w14:textId="77777777" w:rsidR="00146CE2" w:rsidRDefault="00DB0AA3">
      <w:pPr>
        <w:pStyle w:val="a5"/>
        <w:numPr>
          <w:ilvl w:val="0"/>
          <w:numId w:val="3"/>
        </w:numPr>
        <w:spacing w:after="120" w:line="360" w:lineRule="auto"/>
        <w:jc w:val="both"/>
        <w:rPr>
          <w:rFonts w:ascii="Times New Roman" w:hAnsi="Times New Roman"/>
          <w:sz w:val="24"/>
        </w:rPr>
      </w:pPr>
      <w:r>
        <w:rPr>
          <w:rFonts w:ascii="Times New Roman" w:hAnsi="Times New Roman"/>
          <w:sz w:val="24"/>
        </w:rPr>
        <w:t xml:space="preserve">Επικάλυψη φαρυγγικών τοιχωμάτων με τροφές μετά την κατάποση, εξαιτίας μη επαρκής φαρυγγικής σύσπασης αμφίπλευρα. Η παραμονή τροφών στα τοιχώματα είναι φυσιολογική, όχι όμως σε μεγάλη ποσότητα. </w:t>
      </w:r>
    </w:p>
    <w:p w14:paraId="27BEE769" w14:textId="77777777" w:rsidR="00146CE2" w:rsidRDefault="00DB0AA3">
      <w:pPr>
        <w:pStyle w:val="a5"/>
        <w:numPr>
          <w:ilvl w:val="0"/>
          <w:numId w:val="3"/>
        </w:numPr>
        <w:spacing w:after="120" w:line="360" w:lineRule="auto"/>
        <w:jc w:val="both"/>
        <w:rPr>
          <w:rFonts w:ascii="Times New Roman" w:hAnsi="Times New Roman"/>
          <w:sz w:val="24"/>
        </w:rPr>
      </w:pPr>
      <w:r>
        <w:rPr>
          <w:rFonts w:ascii="Times New Roman" w:hAnsi="Times New Roman"/>
          <w:sz w:val="24"/>
        </w:rPr>
        <w:lastRenderedPageBreak/>
        <w:t>Μειωμένη οπίσθια κινητικότητα της βάσης της γλώσσας, με αποτέλεσμα συγκράτηση υπολειμμάτων στο γλωσσοεπιγλωττιδικό βοθρίο και πιθανή πρόκληση αναγωγής.</w:t>
      </w:r>
    </w:p>
    <w:p w14:paraId="61C07B83" w14:textId="77777777" w:rsidR="00146CE2" w:rsidRDefault="00DB0AA3" w:rsidP="00491D8A">
      <w:pPr>
        <w:pStyle w:val="a5"/>
        <w:numPr>
          <w:ilvl w:val="0"/>
          <w:numId w:val="3"/>
        </w:numPr>
        <w:spacing w:after="120" w:line="360" w:lineRule="auto"/>
        <w:jc w:val="both"/>
        <w:rPr>
          <w:rFonts w:ascii="Times New Roman" w:hAnsi="Times New Roman"/>
          <w:sz w:val="24"/>
        </w:rPr>
      </w:pPr>
      <w:r>
        <w:rPr>
          <w:rFonts w:ascii="Times New Roman" w:hAnsi="Times New Roman"/>
          <w:sz w:val="24"/>
        </w:rPr>
        <w:t xml:space="preserve">Λόγω της συσσώρευσης φαγητού σε μία </w:t>
      </w:r>
      <w:proofErr w:type="spellStart"/>
      <w:r>
        <w:rPr>
          <w:rFonts w:ascii="Times New Roman" w:hAnsi="Times New Roman"/>
          <w:sz w:val="24"/>
        </w:rPr>
        <w:t>εμβίθυση</w:t>
      </w:r>
      <w:proofErr w:type="spellEnd"/>
      <w:r>
        <w:rPr>
          <w:rFonts w:ascii="Times New Roman" w:hAnsi="Times New Roman"/>
          <w:sz w:val="24"/>
        </w:rPr>
        <w:t xml:space="preserve"> των φαρυγγικών τοιχωμάτων, υπάρχει πιθανότητα πρόκλησης φαρυγγικού κολπώματος ή ουλώδους ιστού. Εάν η ποσότητα είναι μεγάλη, τότε ο ασθενή</w:t>
      </w:r>
      <w:r w:rsidR="00491D8A">
        <w:rPr>
          <w:rFonts w:ascii="Times New Roman" w:hAnsi="Times New Roman"/>
          <w:sz w:val="24"/>
        </w:rPr>
        <w:t>ς μπορεί να παρουσιάσει αναγωγή (</w:t>
      </w:r>
      <w:r w:rsidR="00491D8A" w:rsidRPr="00491D8A">
        <w:rPr>
          <w:rFonts w:ascii="Times New Roman" w:hAnsi="Times New Roman"/>
          <w:sz w:val="24"/>
        </w:rPr>
        <w:t>(Μεσσήνης &amp; Αντωνιάδης, 2010)</w:t>
      </w:r>
    </w:p>
    <w:p w14:paraId="304F3EA9" w14:textId="77777777" w:rsidR="00AC02D7" w:rsidRDefault="00AC02D7" w:rsidP="00491D8A">
      <w:pPr>
        <w:pStyle w:val="a5"/>
        <w:numPr>
          <w:ilvl w:val="0"/>
          <w:numId w:val="3"/>
        </w:numPr>
        <w:spacing w:after="120" w:line="360" w:lineRule="auto"/>
        <w:jc w:val="both"/>
        <w:rPr>
          <w:rFonts w:ascii="Times New Roman" w:hAnsi="Times New Roman"/>
          <w:sz w:val="24"/>
        </w:rPr>
      </w:pPr>
      <w:r>
        <w:rPr>
          <w:rFonts w:ascii="Times New Roman" w:hAnsi="Times New Roman"/>
          <w:sz w:val="24"/>
        </w:rPr>
        <w:t>Β</w:t>
      </w:r>
      <w:r w:rsidR="00E46F1C">
        <w:rPr>
          <w:rFonts w:ascii="Times New Roman" w:hAnsi="Times New Roman"/>
          <w:sz w:val="24"/>
        </w:rPr>
        <w:t>ήχας πριν, κατά τη διάρκεια ή μετά την κατάποση και πνιγμός.</w:t>
      </w:r>
    </w:p>
    <w:p w14:paraId="6B23ACB6" w14:textId="77777777" w:rsidR="00E46F1C" w:rsidRDefault="00E46F1C" w:rsidP="00491D8A">
      <w:pPr>
        <w:pStyle w:val="a5"/>
        <w:numPr>
          <w:ilvl w:val="0"/>
          <w:numId w:val="3"/>
        </w:numPr>
        <w:spacing w:after="120" w:line="360" w:lineRule="auto"/>
        <w:jc w:val="both"/>
        <w:rPr>
          <w:rFonts w:ascii="Times New Roman" w:hAnsi="Times New Roman"/>
          <w:sz w:val="24"/>
        </w:rPr>
      </w:pPr>
      <w:r>
        <w:rPr>
          <w:rFonts w:ascii="Times New Roman" w:hAnsi="Times New Roman"/>
          <w:sz w:val="24"/>
        </w:rPr>
        <w:t>Παράπονα για προσκόλληση φαγητού στο λαιμό</w:t>
      </w:r>
      <w:r w:rsidR="001D36C6">
        <w:rPr>
          <w:rFonts w:ascii="Times New Roman" w:hAnsi="Times New Roman"/>
          <w:sz w:val="24"/>
        </w:rPr>
        <w:t xml:space="preserve"> (</w:t>
      </w:r>
      <w:proofErr w:type="spellStart"/>
      <w:r w:rsidR="001D36C6">
        <w:rPr>
          <w:rFonts w:ascii="Times New Roman" w:hAnsi="Times New Roman"/>
          <w:sz w:val="24"/>
          <w:lang w:val="en-US"/>
        </w:rPr>
        <w:t>Crary</w:t>
      </w:r>
      <w:proofErr w:type="spellEnd"/>
      <w:r w:rsidR="001D36C6" w:rsidRPr="001D36C6">
        <w:rPr>
          <w:rFonts w:ascii="Times New Roman" w:hAnsi="Times New Roman"/>
          <w:sz w:val="24"/>
        </w:rPr>
        <w:t xml:space="preserve"> &amp; </w:t>
      </w:r>
      <w:proofErr w:type="spellStart"/>
      <w:r w:rsidR="001D36C6">
        <w:rPr>
          <w:rFonts w:ascii="Times New Roman" w:hAnsi="Times New Roman"/>
          <w:sz w:val="24"/>
          <w:lang w:val="en-US"/>
        </w:rPr>
        <w:t>Groher</w:t>
      </w:r>
      <w:proofErr w:type="spellEnd"/>
      <w:r w:rsidR="001D36C6" w:rsidRPr="001D36C6">
        <w:rPr>
          <w:rFonts w:ascii="Times New Roman" w:hAnsi="Times New Roman"/>
          <w:sz w:val="24"/>
        </w:rPr>
        <w:t xml:space="preserve">, 2003; </w:t>
      </w:r>
      <w:proofErr w:type="spellStart"/>
      <w:r w:rsidR="001D36C6">
        <w:rPr>
          <w:rFonts w:ascii="Times New Roman" w:hAnsi="Times New Roman"/>
          <w:sz w:val="24"/>
          <w:lang w:val="en-US"/>
        </w:rPr>
        <w:t>Groher</w:t>
      </w:r>
      <w:proofErr w:type="spellEnd"/>
      <w:r w:rsidR="001D36C6" w:rsidRPr="001D36C6">
        <w:rPr>
          <w:rFonts w:ascii="Times New Roman" w:hAnsi="Times New Roman"/>
          <w:sz w:val="24"/>
        </w:rPr>
        <w:t>, 1997;</w:t>
      </w:r>
      <w:r w:rsidR="008A3DF9">
        <w:rPr>
          <w:rFonts w:ascii="Times New Roman" w:hAnsi="Times New Roman"/>
          <w:sz w:val="24"/>
        </w:rPr>
        <w:t xml:space="preserve"> </w:t>
      </w:r>
      <w:r w:rsidR="008A3DF9">
        <w:rPr>
          <w:rFonts w:ascii="Times New Roman" w:hAnsi="Times New Roman"/>
          <w:sz w:val="24"/>
          <w:lang w:val="en-US"/>
        </w:rPr>
        <w:t>Landis</w:t>
      </w:r>
      <w:r w:rsidR="008A3DF9" w:rsidRPr="008A3DF9">
        <w:rPr>
          <w:rFonts w:ascii="Times New Roman" w:hAnsi="Times New Roman"/>
          <w:sz w:val="24"/>
        </w:rPr>
        <w:t xml:space="preserve">, </w:t>
      </w:r>
      <w:r w:rsidR="008A3DF9">
        <w:rPr>
          <w:rFonts w:ascii="Times New Roman" w:hAnsi="Times New Roman"/>
          <w:sz w:val="24"/>
          <w:lang w:val="en-US"/>
        </w:rPr>
        <w:t>et</w:t>
      </w:r>
      <w:r w:rsidR="008A3DF9" w:rsidRPr="008A3DF9">
        <w:rPr>
          <w:rFonts w:ascii="Times New Roman" w:hAnsi="Times New Roman"/>
          <w:sz w:val="24"/>
        </w:rPr>
        <w:t xml:space="preserve"> </w:t>
      </w:r>
      <w:r w:rsidR="008A3DF9">
        <w:rPr>
          <w:rFonts w:ascii="Times New Roman" w:hAnsi="Times New Roman"/>
          <w:sz w:val="24"/>
          <w:lang w:val="en-US"/>
        </w:rPr>
        <w:t>al</w:t>
      </w:r>
      <w:r w:rsidR="008A3DF9" w:rsidRPr="008A3DF9">
        <w:rPr>
          <w:rFonts w:ascii="Times New Roman" w:hAnsi="Times New Roman"/>
          <w:sz w:val="24"/>
        </w:rPr>
        <w:t>, 2012)</w:t>
      </w:r>
    </w:p>
    <w:p w14:paraId="52A5C1B8" w14:textId="77777777" w:rsidR="00146CE2" w:rsidRDefault="00DB0AA3">
      <w:pPr>
        <w:pStyle w:val="a5"/>
        <w:numPr>
          <w:ilvl w:val="0"/>
          <w:numId w:val="3"/>
        </w:numPr>
        <w:spacing w:after="120" w:line="360" w:lineRule="auto"/>
        <w:jc w:val="both"/>
        <w:rPr>
          <w:rFonts w:ascii="Times New Roman" w:hAnsi="Times New Roman"/>
          <w:sz w:val="24"/>
        </w:rPr>
      </w:pPr>
      <w:r>
        <w:rPr>
          <w:rFonts w:ascii="Times New Roman" w:hAnsi="Times New Roman"/>
          <w:sz w:val="24"/>
        </w:rPr>
        <w:t>Μειωμένη λαρυγγική ανύψωση, λόγω υπολειμμάτων στην είσοδο των αεραγωγών.</w:t>
      </w:r>
    </w:p>
    <w:p w14:paraId="3C059692" w14:textId="77777777" w:rsidR="00146CE2" w:rsidRDefault="00DB0AA3">
      <w:pPr>
        <w:pStyle w:val="a5"/>
        <w:numPr>
          <w:ilvl w:val="0"/>
          <w:numId w:val="3"/>
        </w:numPr>
        <w:spacing w:after="120" w:line="360" w:lineRule="auto"/>
        <w:jc w:val="both"/>
        <w:rPr>
          <w:rFonts w:ascii="Times New Roman" w:hAnsi="Times New Roman"/>
          <w:sz w:val="24"/>
        </w:rPr>
      </w:pPr>
      <w:r>
        <w:rPr>
          <w:rFonts w:ascii="Times New Roman" w:hAnsi="Times New Roman"/>
          <w:sz w:val="24"/>
        </w:rPr>
        <w:t>Η μειωμένη ικανότητα φραγής της εισόδου του λάρυγγα προκαλεί διείσδυση τροφής σε αυτόν και αναγωγή μετά από κατάποση, εξαιτίας καθυστέρησης του φαρυγγικού σταδίου.</w:t>
      </w:r>
    </w:p>
    <w:p w14:paraId="3D6E3A01" w14:textId="77777777" w:rsidR="00146CE2" w:rsidRDefault="00DB0AA3">
      <w:pPr>
        <w:pStyle w:val="a5"/>
        <w:numPr>
          <w:ilvl w:val="0"/>
          <w:numId w:val="3"/>
        </w:numPr>
        <w:spacing w:after="120" w:line="360" w:lineRule="auto"/>
        <w:jc w:val="both"/>
        <w:rPr>
          <w:rFonts w:ascii="Times New Roman" w:hAnsi="Times New Roman"/>
          <w:sz w:val="24"/>
        </w:rPr>
      </w:pPr>
      <w:r>
        <w:rPr>
          <w:rFonts w:ascii="Times New Roman" w:hAnsi="Times New Roman"/>
          <w:sz w:val="24"/>
        </w:rPr>
        <w:t>Η αποτυχία αποκλεισμού του λάρυγγα προκαλεί αναγωγή κατά την διάρκεια της κατάποσης.</w:t>
      </w:r>
    </w:p>
    <w:p w14:paraId="48B3FF78" w14:textId="77777777" w:rsidR="00146CE2" w:rsidRDefault="00DB0AA3">
      <w:pPr>
        <w:pStyle w:val="a5"/>
        <w:numPr>
          <w:ilvl w:val="0"/>
          <w:numId w:val="3"/>
        </w:numPr>
        <w:spacing w:after="120" w:line="360" w:lineRule="auto"/>
        <w:jc w:val="both"/>
        <w:rPr>
          <w:rFonts w:ascii="Times New Roman" w:hAnsi="Times New Roman"/>
          <w:sz w:val="24"/>
        </w:rPr>
      </w:pPr>
      <w:r>
        <w:rPr>
          <w:rFonts w:ascii="Times New Roman" w:hAnsi="Times New Roman"/>
          <w:sz w:val="24"/>
        </w:rPr>
        <w:lastRenderedPageBreak/>
        <w:t xml:space="preserve">Υπολείμματα μπορεί να προσκολληθούν σε όλον τον φάρυγγα, σε έναν ή και στους δύο απιοειδείς κόλπους και σε ένα από τα δύο </w:t>
      </w:r>
      <w:proofErr w:type="spellStart"/>
      <w:r>
        <w:rPr>
          <w:rFonts w:ascii="Times New Roman" w:hAnsi="Times New Roman"/>
          <w:sz w:val="24"/>
        </w:rPr>
        <w:t>βοθρία</w:t>
      </w:r>
      <w:proofErr w:type="spellEnd"/>
      <w:r>
        <w:rPr>
          <w:rFonts w:ascii="Times New Roman" w:hAnsi="Times New Roman"/>
          <w:sz w:val="24"/>
        </w:rPr>
        <w:t xml:space="preserve">. Τα παραπάνω προκαλούνται εξαιτίας μειωμένης πίεσης εντός του φάρυγγα, μονόπλευρης δυσλειτουργίας φαρυγγικών τοιχωμάτων, αδυναμία πρόσθιας κίνησης του λάρυγγα και της </w:t>
      </w:r>
      <w:proofErr w:type="spellStart"/>
      <w:r>
        <w:rPr>
          <w:rFonts w:ascii="Times New Roman" w:hAnsi="Times New Roman"/>
          <w:sz w:val="24"/>
        </w:rPr>
        <w:t>κρικοφαρυγγικής</w:t>
      </w:r>
      <w:proofErr w:type="spellEnd"/>
      <w:r>
        <w:rPr>
          <w:rFonts w:ascii="Times New Roman" w:hAnsi="Times New Roman"/>
          <w:sz w:val="24"/>
        </w:rPr>
        <w:t xml:space="preserve"> δυσλειτουργίας όπως επίσης, και της μονόπλευρης δυσλειτουργίας της οπίσθιας κινητικότητας της βάσης της γλώσσας, αντίστοιχα. </w:t>
      </w:r>
    </w:p>
    <w:p w14:paraId="3C5C86E5" w14:textId="77777777" w:rsidR="00146CE2" w:rsidRDefault="00DB0AA3">
      <w:pPr>
        <w:pStyle w:val="a5"/>
        <w:numPr>
          <w:ilvl w:val="0"/>
          <w:numId w:val="3"/>
        </w:numPr>
        <w:spacing w:after="120" w:line="360" w:lineRule="auto"/>
        <w:jc w:val="both"/>
        <w:rPr>
          <w:rFonts w:ascii="Times New Roman" w:hAnsi="Times New Roman"/>
          <w:sz w:val="24"/>
        </w:rPr>
      </w:pPr>
      <w:r>
        <w:rPr>
          <w:rFonts w:ascii="Times New Roman" w:hAnsi="Times New Roman"/>
          <w:sz w:val="24"/>
        </w:rPr>
        <w:t>Μονόπλευρη μείωση της κινητικότητας είναι ένδειξη μειωμένης κινητικότητας του λάρυγγα και πιθανή μονόπλευρη πάρεση ή παράλυση των φωνητικών χορδών.</w:t>
      </w:r>
    </w:p>
    <w:p w14:paraId="44AFD309" w14:textId="77777777" w:rsidR="00146CE2" w:rsidRDefault="00DB0AA3">
      <w:pPr>
        <w:pStyle w:val="a5"/>
        <w:numPr>
          <w:ilvl w:val="0"/>
          <w:numId w:val="3"/>
        </w:numPr>
        <w:spacing w:after="120" w:line="360" w:lineRule="auto"/>
        <w:jc w:val="both"/>
        <w:rPr>
          <w:rFonts w:ascii="Times New Roman" w:hAnsi="Times New Roman"/>
          <w:sz w:val="24"/>
        </w:rPr>
      </w:pPr>
      <w:r>
        <w:rPr>
          <w:rFonts w:ascii="Times New Roman" w:hAnsi="Times New Roman"/>
          <w:sz w:val="24"/>
        </w:rPr>
        <w:t xml:space="preserve">Ανόμοιο ύψος των φωνητικών χορδών. Σε </w:t>
      </w:r>
      <w:proofErr w:type="spellStart"/>
      <w:r>
        <w:rPr>
          <w:rFonts w:ascii="Times New Roman" w:hAnsi="Times New Roman"/>
          <w:sz w:val="24"/>
        </w:rPr>
        <w:t>λαρυγγεκτομημένους</w:t>
      </w:r>
      <w:proofErr w:type="spellEnd"/>
      <w:r>
        <w:rPr>
          <w:rFonts w:ascii="Times New Roman" w:hAnsi="Times New Roman"/>
          <w:sz w:val="24"/>
        </w:rPr>
        <w:t xml:space="preserve"> ασθενείς η προστασία των αεραγωγών χαρακτηρίζεται από ανεπάρκεια, με αποτέλεσμα τον κίνδυνο αναγωγής  κατά την κατάποση </w:t>
      </w:r>
      <w:bookmarkStart w:id="26" w:name="_Hlk492301834"/>
      <w:r>
        <w:rPr>
          <w:rFonts w:ascii="Times New Roman" w:hAnsi="Times New Roman"/>
          <w:sz w:val="24"/>
        </w:rPr>
        <w:t>(Μεσσήνης &amp; Αντωνιάδης, 2010)</w:t>
      </w:r>
      <w:bookmarkEnd w:id="26"/>
      <w:r>
        <w:rPr>
          <w:rFonts w:ascii="Times New Roman" w:hAnsi="Times New Roman"/>
          <w:sz w:val="24"/>
        </w:rPr>
        <w:t>.</w:t>
      </w:r>
    </w:p>
    <w:p w14:paraId="283FE3ED" w14:textId="77777777" w:rsidR="00146CE2" w:rsidRPr="00BF0161" w:rsidRDefault="00146CE2">
      <w:pPr>
        <w:spacing w:after="120" w:line="360" w:lineRule="auto"/>
        <w:ind w:left="360"/>
        <w:jc w:val="both"/>
        <w:rPr>
          <w:lang w:val="el-GR"/>
        </w:rPr>
      </w:pPr>
    </w:p>
    <w:p w14:paraId="3617C4E7" w14:textId="77777777" w:rsidR="00146CE2" w:rsidRPr="00456D14" w:rsidRDefault="00DB0AA3" w:rsidP="00456D14">
      <w:pPr>
        <w:pStyle w:val="2"/>
        <w:spacing w:before="0" w:line="360" w:lineRule="auto"/>
        <w:rPr>
          <w:b/>
        </w:rPr>
      </w:pPr>
      <w:bookmarkStart w:id="27" w:name="_Toc493323971"/>
      <w:r w:rsidRPr="00456D14">
        <w:rPr>
          <w:b/>
        </w:rPr>
        <w:t>1.4.3 Κλινική εικόνα οισοφαγικού σταδίου</w:t>
      </w:r>
      <w:bookmarkEnd w:id="27"/>
    </w:p>
    <w:p w14:paraId="48E9A889" w14:textId="77777777" w:rsidR="00146CE2" w:rsidRPr="00BF0161" w:rsidRDefault="00DB0AA3">
      <w:pPr>
        <w:spacing w:after="120" w:line="360" w:lineRule="auto"/>
        <w:jc w:val="both"/>
        <w:rPr>
          <w:lang w:val="el-GR"/>
        </w:rPr>
      </w:pPr>
      <w:r w:rsidRPr="00BF0161">
        <w:rPr>
          <w:lang w:val="el-GR"/>
        </w:rPr>
        <w:t xml:space="preserve">Σε οισοφαγικές διαταραχές οι ασθενείς  μπορεί να παρουσιάσουν  παλινδρόμηση υλικού από τον οισοφάγο στον φάρυγγα, το οποίο είναι πιθανό να </w:t>
      </w:r>
      <w:r w:rsidRPr="00BF0161">
        <w:rPr>
          <w:lang w:val="el-GR"/>
        </w:rPr>
        <w:lastRenderedPageBreak/>
        <w:t>διαρρεύσει στους αεραγωγούς, οδηγώντας σε αναγωγή. Αυτό ίσως οφείλεται σε γαστροοισοφαγική παλινδρόμηση, κατά την οποία προκαλείται ερεθισμός στη βλεννογόνο του λάρυγγα. Έτσι, οι ασθενείς αυτοί έχουν ένα αίσθημα καψίματος στον φάρυγγα και στον οισοφάγο, βήχα και συχνά πνιγμό (Μεσσήνης &amp; Αντωνιάδης, 2010).</w:t>
      </w:r>
    </w:p>
    <w:p w14:paraId="46F368B6" w14:textId="77777777" w:rsidR="00456D14" w:rsidRPr="00DE400E" w:rsidRDefault="00456D14" w:rsidP="00456D14">
      <w:pPr>
        <w:pStyle w:val="2"/>
        <w:spacing w:before="0" w:line="360" w:lineRule="auto"/>
        <w:rPr>
          <w:b/>
          <w:sz w:val="28"/>
        </w:rPr>
      </w:pPr>
    </w:p>
    <w:p w14:paraId="0304D8E6" w14:textId="77777777" w:rsidR="00456D14" w:rsidRPr="00DE400E" w:rsidRDefault="00456D14" w:rsidP="00456D14">
      <w:pPr>
        <w:pStyle w:val="2"/>
        <w:spacing w:before="0" w:line="360" w:lineRule="auto"/>
        <w:rPr>
          <w:b/>
          <w:sz w:val="28"/>
        </w:rPr>
      </w:pPr>
    </w:p>
    <w:p w14:paraId="6C01ADAB" w14:textId="77777777" w:rsidR="00456D14" w:rsidRPr="00DE400E" w:rsidRDefault="00456D14" w:rsidP="00456D14">
      <w:pPr>
        <w:pStyle w:val="2"/>
        <w:spacing w:before="0" w:line="360" w:lineRule="auto"/>
        <w:rPr>
          <w:b/>
          <w:sz w:val="28"/>
        </w:rPr>
      </w:pPr>
    </w:p>
    <w:p w14:paraId="17706938" w14:textId="77777777" w:rsidR="00456D14" w:rsidRPr="00DE400E" w:rsidRDefault="00456D14" w:rsidP="00456D14">
      <w:pPr>
        <w:pStyle w:val="2"/>
        <w:spacing w:before="0" w:line="360" w:lineRule="auto"/>
        <w:rPr>
          <w:b/>
          <w:sz w:val="28"/>
        </w:rPr>
      </w:pPr>
    </w:p>
    <w:p w14:paraId="4E8149B5" w14:textId="77777777" w:rsidR="00456D14" w:rsidRPr="00DE400E" w:rsidRDefault="00456D14" w:rsidP="00456D14">
      <w:pPr>
        <w:pStyle w:val="2"/>
        <w:spacing w:before="0" w:line="360" w:lineRule="auto"/>
        <w:rPr>
          <w:b/>
          <w:sz w:val="28"/>
        </w:rPr>
      </w:pPr>
    </w:p>
    <w:p w14:paraId="4A0F99B9" w14:textId="263F5777" w:rsidR="00456D14" w:rsidRDefault="00456D14" w:rsidP="00456D14">
      <w:pPr>
        <w:rPr>
          <w:rFonts w:eastAsiaTheme="majorEastAsia" w:cstheme="majorBidi"/>
          <w:b/>
          <w:bCs/>
          <w:sz w:val="28"/>
          <w:szCs w:val="26"/>
          <w:lang w:val="el-GR" w:eastAsia="en-US"/>
        </w:rPr>
      </w:pPr>
    </w:p>
    <w:p w14:paraId="670B47F8" w14:textId="77777777" w:rsidR="00D52750" w:rsidRPr="00DE400E" w:rsidRDefault="00D52750" w:rsidP="00456D14">
      <w:pPr>
        <w:rPr>
          <w:lang w:val="el-GR" w:eastAsia="en-US"/>
        </w:rPr>
      </w:pPr>
    </w:p>
    <w:p w14:paraId="538918FC" w14:textId="77777777" w:rsidR="00146CE2" w:rsidRPr="00456D14" w:rsidRDefault="00DB0AA3" w:rsidP="00456D14">
      <w:pPr>
        <w:pStyle w:val="2"/>
        <w:spacing w:before="0" w:line="360" w:lineRule="auto"/>
        <w:rPr>
          <w:b/>
          <w:sz w:val="28"/>
        </w:rPr>
      </w:pPr>
      <w:bookmarkStart w:id="28" w:name="_Toc493323972"/>
      <w:r w:rsidRPr="00456D14">
        <w:rPr>
          <w:b/>
          <w:sz w:val="28"/>
        </w:rPr>
        <w:t>1.5 Αξιολόγηση της Κατάποσης</w:t>
      </w:r>
      <w:bookmarkEnd w:id="28"/>
    </w:p>
    <w:p w14:paraId="4D906006" w14:textId="77777777" w:rsidR="00146CE2" w:rsidRPr="00BF0161" w:rsidRDefault="00DB0AA3" w:rsidP="00B16203">
      <w:pPr>
        <w:spacing w:after="120" w:line="360" w:lineRule="auto"/>
        <w:jc w:val="both"/>
        <w:rPr>
          <w:lang w:val="el-GR"/>
        </w:rPr>
      </w:pPr>
      <w:r w:rsidRPr="00BF0161">
        <w:rPr>
          <w:lang w:val="el-GR"/>
        </w:rPr>
        <w:t xml:space="preserve">Σκοπός της αξιολόγησης είναι η ανίχνευση του πιθανού προβλήματος και η εξακρίβωση της διαταραχής. Εφόσον εντοπιστούν προβλήματα στην κατάποση, ακολουθεί η εκτίμηση των σημείων που αναφέρονται από τον ίδιο </w:t>
      </w:r>
      <w:r w:rsidRPr="00BF0161">
        <w:rPr>
          <w:lang w:val="el-GR"/>
        </w:rPr>
        <w:lastRenderedPageBreak/>
        <w:t xml:space="preserve">τον ασθενή, των συμπτωμάτων, της φύσεως και της έκτασης της διαταραχής (Παπαδοπούλου, 2014). Όπως αναφέρουν οι </w:t>
      </w:r>
      <w:proofErr w:type="spellStart"/>
      <w:r>
        <w:rPr>
          <w:lang w:val="en-US"/>
        </w:rPr>
        <w:t>Bigenzahn</w:t>
      </w:r>
      <w:proofErr w:type="spellEnd"/>
      <w:r w:rsidRPr="00BF0161">
        <w:rPr>
          <w:lang w:val="el-GR"/>
        </w:rPr>
        <w:t xml:space="preserve"> και </w:t>
      </w:r>
      <w:proofErr w:type="spellStart"/>
      <w:r>
        <w:rPr>
          <w:lang w:val="en-US"/>
        </w:rPr>
        <w:t>Denk</w:t>
      </w:r>
      <w:proofErr w:type="spellEnd"/>
      <w:r w:rsidRPr="00BF0161">
        <w:rPr>
          <w:lang w:val="el-GR"/>
        </w:rPr>
        <w:t xml:space="preserve"> (2013), προσοχή πρέπει να δοθεί και στη διαδικασία </w:t>
      </w:r>
      <w:proofErr w:type="spellStart"/>
      <w:r w:rsidRPr="00BF0161">
        <w:rPr>
          <w:lang w:val="el-GR"/>
        </w:rPr>
        <w:t>διαφοροδιάγνωσης</w:t>
      </w:r>
      <w:proofErr w:type="spellEnd"/>
      <w:r w:rsidRPr="00BF0161">
        <w:rPr>
          <w:lang w:val="el-GR"/>
        </w:rPr>
        <w:t>, έτσι ώστε να αποκλειστεί το ενδεχόμενο ύπαρξης κακοήθων νεοπλασμάτων. Για να καταλήξουμε σε μια ακριβή διάγνωση, απαραίτητη είναι η ανάλυση των δεδομένων ποικίλων εξετάσεων και των κλινικών πληροφοριών (Παπαδοπούλου, 2014).</w:t>
      </w:r>
    </w:p>
    <w:p w14:paraId="36C0B646" w14:textId="77777777" w:rsidR="00146CE2" w:rsidRPr="00BF0161" w:rsidRDefault="00DB0AA3" w:rsidP="00B16203">
      <w:pPr>
        <w:spacing w:after="120" w:line="360" w:lineRule="auto"/>
        <w:jc w:val="both"/>
        <w:rPr>
          <w:lang w:val="el-GR"/>
        </w:rPr>
      </w:pPr>
      <w:r w:rsidRPr="00BF0161">
        <w:rPr>
          <w:lang w:val="el-GR"/>
        </w:rPr>
        <w:t xml:space="preserve">Για την αποτελεσματικότερη αξιολόγηση είναι αναγκαία η συγκρότηση μιας διεπιστημονικής ομάδας, η οποία αποτελείται από ιατρό ΩΡΛ, νευρολόγο, ακτινολόγο, χειρουργό, ψυχίατρο, δερματολόγο, θεραπευτές (λογοθεραπευτή, </w:t>
      </w:r>
      <w:proofErr w:type="spellStart"/>
      <w:r w:rsidRPr="00BF0161">
        <w:rPr>
          <w:lang w:val="el-GR"/>
        </w:rPr>
        <w:t>εργοθεραπευτή</w:t>
      </w:r>
      <w:proofErr w:type="spellEnd"/>
      <w:r w:rsidRPr="00BF0161">
        <w:rPr>
          <w:lang w:val="el-GR"/>
        </w:rPr>
        <w:t xml:space="preserve"> και φυσιοθεραπευτή) αλλά και διαιτολόγο (Παπαδοπούλου, 2014).</w:t>
      </w:r>
    </w:p>
    <w:p w14:paraId="1A1D6B15" w14:textId="77777777" w:rsidR="00146CE2" w:rsidRPr="00BF0161" w:rsidRDefault="00DB0AA3">
      <w:pPr>
        <w:spacing w:after="120" w:line="360" w:lineRule="auto"/>
        <w:jc w:val="both"/>
        <w:rPr>
          <w:lang w:val="el-GR"/>
        </w:rPr>
      </w:pPr>
      <w:r w:rsidRPr="00BF0161">
        <w:rPr>
          <w:lang w:val="el-GR"/>
        </w:rPr>
        <w:t>Στη συνέχεια θα αναφερθούν οι μέθοδοι αξιολόγησης της κατάποσης, οι οποίες είναι:</w:t>
      </w:r>
    </w:p>
    <w:p w14:paraId="75A1BB53" w14:textId="77777777" w:rsidR="00146CE2" w:rsidRDefault="00DB0AA3">
      <w:pPr>
        <w:pStyle w:val="a5"/>
        <w:numPr>
          <w:ilvl w:val="0"/>
          <w:numId w:val="4"/>
        </w:numPr>
        <w:spacing w:after="120" w:line="360" w:lineRule="auto"/>
        <w:jc w:val="both"/>
        <w:rPr>
          <w:rFonts w:ascii="Times New Roman" w:hAnsi="Times New Roman"/>
          <w:sz w:val="24"/>
          <w:szCs w:val="24"/>
        </w:rPr>
      </w:pPr>
      <w:r>
        <w:rPr>
          <w:rFonts w:ascii="Times New Roman" w:hAnsi="Times New Roman"/>
          <w:sz w:val="24"/>
          <w:szCs w:val="24"/>
        </w:rPr>
        <w:t>Ιστορικό ασθενούς</w:t>
      </w:r>
    </w:p>
    <w:p w14:paraId="589C4FEB" w14:textId="77777777" w:rsidR="00146CE2" w:rsidRDefault="00DB0AA3">
      <w:pPr>
        <w:pStyle w:val="a5"/>
        <w:numPr>
          <w:ilvl w:val="0"/>
          <w:numId w:val="4"/>
        </w:numPr>
        <w:spacing w:after="120" w:line="360" w:lineRule="auto"/>
        <w:jc w:val="both"/>
        <w:rPr>
          <w:rFonts w:ascii="Times New Roman" w:hAnsi="Times New Roman"/>
          <w:sz w:val="24"/>
          <w:szCs w:val="24"/>
        </w:rPr>
      </w:pPr>
      <w:r>
        <w:rPr>
          <w:rFonts w:ascii="Times New Roman" w:hAnsi="Times New Roman"/>
          <w:sz w:val="24"/>
          <w:szCs w:val="24"/>
        </w:rPr>
        <w:t>Ιατρικές μέθοδοι (απεικονιστικές, μη απεικονιστικές)</w:t>
      </w:r>
    </w:p>
    <w:p w14:paraId="7FB2D271" w14:textId="77777777" w:rsidR="00146CE2" w:rsidRDefault="00DB0AA3">
      <w:pPr>
        <w:pStyle w:val="a5"/>
        <w:numPr>
          <w:ilvl w:val="0"/>
          <w:numId w:val="4"/>
        </w:numPr>
        <w:spacing w:after="120" w:line="360" w:lineRule="auto"/>
        <w:jc w:val="both"/>
        <w:rPr>
          <w:rFonts w:ascii="Times New Roman" w:hAnsi="Times New Roman"/>
          <w:sz w:val="24"/>
          <w:szCs w:val="24"/>
        </w:rPr>
      </w:pPr>
      <w:r>
        <w:rPr>
          <w:rFonts w:ascii="Times New Roman" w:hAnsi="Times New Roman"/>
          <w:sz w:val="24"/>
          <w:szCs w:val="24"/>
        </w:rPr>
        <w:t>Λογοθεραπευτική αξιολόγηση</w:t>
      </w:r>
    </w:p>
    <w:p w14:paraId="0A4044B9" w14:textId="77777777" w:rsidR="00146CE2" w:rsidRDefault="00B16203">
      <w:pPr>
        <w:pStyle w:val="a5"/>
        <w:numPr>
          <w:ilvl w:val="0"/>
          <w:numId w:val="4"/>
        </w:numPr>
        <w:spacing w:after="120" w:line="360" w:lineRule="auto"/>
        <w:jc w:val="both"/>
        <w:rPr>
          <w:rFonts w:ascii="Times New Roman" w:hAnsi="Times New Roman"/>
          <w:sz w:val="24"/>
          <w:szCs w:val="24"/>
        </w:rPr>
      </w:pPr>
      <w:proofErr w:type="spellStart"/>
      <w:r>
        <w:rPr>
          <w:rFonts w:ascii="Times New Roman" w:hAnsi="Times New Roman"/>
          <w:sz w:val="24"/>
          <w:szCs w:val="24"/>
        </w:rPr>
        <w:t>Αυτ</w:t>
      </w:r>
      <w:proofErr w:type="spellEnd"/>
      <w:r>
        <w:rPr>
          <w:rFonts w:ascii="Times New Roman" w:hAnsi="Times New Roman"/>
          <w:sz w:val="24"/>
          <w:szCs w:val="24"/>
          <w:lang w:val="en-US"/>
        </w:rPr>
        <w:t>o</w:t>
      </w:r>
      <w:r w:rsidR="00DB0AA3">
        <w:rPr>
          <w:rFonts w:ascii="Times New Roman" w:hAnsi="Times New Roman"/>
          <w:sz w:val="24"/>
          <w:szCs w:val="24"/>
        </w:rPr>
        <w:t xml:space="preserve">-αξιολόγηση </w:t>
      </w:r>
    </w:p>
    <w:p w14:paraId="5E99107F" w14:textId="77777777" w:rsidR="00146CE2" w:rsidRDefault="00146CE2">
      <w:pPr>
        <w:spacing w:after="120" w:line="360" w:lineRule="auto"/>
        <w:jc w:val="both"/>
      </w:pPr>
    </w:p>
    <w:p w14:paraId="311AC72F" w14:textId="77777777" w:rsidR="00146CE2" w:rsidRPr="00456D14" w:rsidRDefault="00DB0AA3" w:rsidP="00456D14">
      <w:pPr>
        <w:pStyle w:val="2"/>
        <w:spacing w:before="0" w:line="360" w:lineRule="auto"/>
        <w:rPr>
          <w:b/>
        </w:rPr>
      </w:pPr>
      <w:bookmarkStart w:id="29" w:name="_Toc493323973"/>
      <w:r w:rsidRPr="00456D14">
        <w:rPr>
          <w:b/>
        </w:rPr>
        <w:t>1.5.1 Ιστορικό ασθενούς</w:t>
      </w:r>
      <w:bookmarkEnd w:id="29"/>
    </w:p>
    <w:p w14:paraId="6B5810E4" w14:textId="77777777" w:rsidR="00146CE2" w:rsidRDefault="00DB0AA3">
      <w:pPr>
        <w:spacing w:after="120" w:line="360" w:lineRule="auto"/>
        <w:jc w:val="both"/>
      </w:pPr>
      <w:r w:rsidRPr="00BF0161">
        <w:rPr>
          <w:lang w:val="el-GR"/>
        </w:rPr>
        <w:t>Πριν από οποιαδήποτε αξιολόγηση είναι σημαντική η λήψη ιστορικού του ασθενούς, είτε από τον ίδιο, είτε από τους συγγενείς ή συνοδούς/φροντιστές (</w:t>
      </w:r>
      <w:proofErr w:type="spellStart"/>
      <w:r>
        <w:rPr>
          <w:lang w:val="en-US"/>
        </w:rPr>
        <w:t>Logemann</w:t>
      </w:r>
      <w:proofErr w:type="spellEnd"/>
      <w:r w:rsidRPr="00BF0161">
        <w:rPr>
          <w:lang w:val="el-GR"/>
        </w:rPr>
        <w:t xml:space="preserve">, 1998). </w:t>
      </w:r>
      <w:proofErr w:type="spellStart"/>
      <w:r>
        <w:t>Το</w:t>
      </w:r>
      <w:proofErr w:type="spellEnd"/>
      <w:r>
        <w:t xml:space="preserve"> </w:t>
      </w:r>
      <w:proofErr w:type="spellStart"/>
      <w:r>
        <w:t>ιστορικό</w:t>
      </w:r>
      <w:proofErr w:type="spellEnd"/>
      <w:r>
        <w:t xml:space="preserve"> απ</w:t>
      </w:r>
      <w:proofErr w:type="spellStart"/>
      <w:r>
        <w:t>οτελείτε</w:t>
      </w:r>
      <w:proofErr w:type="spellEnd"/>
      <w:r>
        <w:t xml:space="preserve"> από:</w:t>
      </w:r>
    </w:p>
    <w:p w14:paraId="2C8CEB39" w14:textId="77777777" w:rsidR="00146CE2" w:rsidRDefault="00DB0AA3">
      <w:pPr>
        <w:pStyle w:val="a5"/>
        <w:numPr>
          <w:ilvl w:val="0"/>
          <w:numId w:val="13"/>
        </w:numPr>
        <w:spacing w:after="120" w:line="360" w:lineRule="auto"/>
        <w:jc w:val="both"/>
        <w:rPr>
          <w:rFonts w:ascii="Times New Roman" w:hAnsi="Times New Roman"/>
          <w:sz w:val="24"/>
          <w:szCs w:val="24"/>
        </w:rPr>
      </w:pPr>
      <w:r>
        <w:rPr>
          <w:rFonts w:ascii="Times New Roman" w:hAnsi="Times New Roman"/>
          <w:sz w:val="24"/>
          <w:szCs w:val="24"/>
        </w:rPr>
        <w:t>Βιογραφικά στοιχεία</w:t>
      </w:r>
    </w:p>
    <w:p w14:paraId="3528AEDE" w14:textId="77777777" w:rsidR="00146CE2" w:rsidRDefault="00DB0AA3">
      <w:pPr>
        <w:pStyle w:val="a5"/>
        <w:numPr>
          <w:ilvl w:val="0"/>
          <w:numId w:val="13"/>
        </w:numPr>
        <w:spacing w:after="120" w:line="360" w:lineRule="auto"/>
        <w:jc w:val="both"/>
        <w:rPr>
          <w:rFonts w:ascii="Times New Roman" w:hAnsi="Times New Roman"/>
          <w:sz w:val="24"/>
          <w:szCs w:val="24"/>
        </w:rPr>
      </w:pPr>
      <w:r>
        <w:rPr>
          <w:rFonts w:ascii="Times New Roman" w:hAnsi="Times New Roman"/>
          <w:sz w:val="24"/>
          <w:szCs w:val="24"/>
        </w:rPr>
        <w:t>Ιατρικό ιστορικό</w:t>
      </w:r>
    </w:p>
    <w:p w14:paraId="74C94739" w14:textId="77777777" w:rsidR="00146CE2" w:rsidRDefault="00DB0AA3">
      <w:pPr>
        <w:pStyle w:val="a5"/>
        <w:numPr>
          <w:ilvl w:val="0"/>
          <w:numId w:val="13"/>
        </w:numPr>
        <w:spacing w:after="120" w:line="360" w:lineRule="auto"/>
        <w:jc w:val="both"/>
        <w:rPr>
          <w:rFonts w:ascii="Times New Roman" w:hAnsi="Times New Roman"/>
          <w:sz w:val="24"/>
          <w:szCs w:val="24"/>
        </w:rPr>
      </w:pPr>
      <w:r>
        <w:rPr>
          <w:rFonts w:ascii="Times New Roman" w:hAnsi="Times New Roman"/>
          <w:sz w:val="24"/>
          <w:szCs w:val="24"/>
        </w:rPr>
        <w:t>Οικογενειακό ιστορικό</w:t>
      </w:r>
    </w:p>
    <w:p w14:paraId="68BE47F8" w14:textId="77777777" w:rsidR="00146CE2" w:rsidRDefault="00DB0AA3">
      <w:pPr>
        <w:pStyle w:val="a5"/>
        <w:numPr>
          <w:ilvl w:val="0"/>
          <w:numId w:val="13"/>
        </w:numPr>
        <w:spacing w:after="120" w:line="360" w:lineRule="auto"/>
        <w:jc w:val="both"/>
        <w:rPr>
          <w:rFonts w:ascii="Times New Roman" w:hAnsi="Times New Roman"/>
          <w:sz w:val="24"/>
          <w:szCs w:val="24"/>
        </w:rPr>
      </w:pPr>
      <w:r>
        <w:rPr>
          <w:rFonts w:ascii="Times New Roman" w:hAnsi="Times New Roman"/>
          <w:sz w:val="24"/>
          <w:szCs w:val="24"/>
        </w:rPr>
        <w:t>Επαγγελματικό ιστορικό</w:t>
      </w:r>
    </w:p>
    <w:p w14:paraId="66DBF572" w14:textId="77777777" w:rsidR="00146CE2" w:rsidRDefault="00DB0AA3">
      <w:pPr>
        <w:pStyle w:val="a5"/>
        <w:numPr>
          <w:ilvl w:val="0"/>
          <w:numId w:val="13"/>
        </w:numPr>
        <w:spacing w:after="120" w:line="360" w:lineRule="auto"/>
        <w:jc w:val="both"/>
        <w:rPr>
          <w:rFonts w:ascii="Times New Roman" w:hAnsi="Times New Roman"/>
          <w:sz w:val="24"/>
          <w:szCs w:val="24"/>
        </w:rPr>
      </w:pPr>
      <w:r>
        <w:rPr>
          <w:rFonts w:ascii="Times New Roman" w:hAnsi="Times New Roman"/>
          <w:sz w:val="24"/>
          <w:szCs w:val="24"/>
        </w:rPr>
        <w:t>Κοινωνικό ιστορικό</w:t>
      </w:r>
    </w:p>
    <w:p w14:paraId="1F63F606" w14:textId="77777777" w:rsidR="00146CE2" w:rsidRDefault="00DB0AA3">
      <w:pPr>
        <w:pStyle w:val="a5"/>
        <w:numPr>
          <w:ilvl w:val="0"/>
          <w:numId w:val="13"/>
        </w:numPr>
        <w:spacing w:after="120" w:line="360" w:lineRule="auto"/>
        <w:jc w:val="both"/>
        <w:rPr>
          <w:rFonts w:ascii="Times New Roman" w:hAnsi="Times New Roman"/>
          <w:sz w:val="24"/>
          <w:szCs w:val="24"/>
        </w:rPr>
      </w:pPr>
      <w:r>
        <w:rPr>
          <w:rFonts w:ascii="Times New Roman" w:hAnsi="Times New Roman"/>
          <w:sz w:val="24"/>
          <w:szCs w:val="24"/>
        </w:rPr>
        <w:t>Γενική συμπεριφορά του ασθενή (παρατηρήσεις κλινικού) (</w:t>
      </w:r>
      <w:proofErr w:type="spellStart"/>
      <w:r>
        <w:rPr>
          <w:rFonts w:ascii="Times New Roman" w:hAnsi="Times New Roman"/>
          <w:sz w:val="24"/>
          <w:szCs w:val="24"/>
        </w:rPr>
        <w:t>Καμπανάρου</w:t>
      </w:r>
      <w:proofErr w:type="spellEnd"/>
      <w:r>
        <w:rPr>
          <w:rFonts w:ascii="Times New Roman" w:hAnsi="Times New Roman"/>
          <w:sz w:val="24"/>
          <w:szCs w:val="24"/>
        </w:rPr>
        <w:t>, 2007</w:t>
      </w:r>
      <w:r w:rsidR="00ED1FD4" w:rsidRPr="00ED1FD4">
        <w:rPr>
          <w:rFonts w:ascii="Times New Roman" w:hAnsi="Times New Roman"/>
          <w:sz w:val="24"/>
          <w:szCs w:val="24"/>
        </w:rPr>
        <w:t>;</w:t>
      </w:r>
      <w:r w:rsidR="00091B70" w:rsidRPr="00091B70">
        <w:rPr>
          <w:rFonts w:ascii="Times New Roman" w:hAnsi="Times New Roman"/>
          <w:sz w:val="24"/>
          <w:szCs w:val="24"/>
        </w:rPr>
        <w:t xml:space="preserve"> </w:t>
      </w:r>
      <w:proofErr w:type="spellStart"/>
      <w:r w:rsidR="00091B70">
        <w:rPr>
          <w:rFonts w:ascii="Times New Roman" w:hAnsi="Times New Roman"/>
          <w:sz w:val="24"/>
          <w:szCs w:val="24"/>
          <w:lang w:val="en-US"/>
        </w:rPr>
        <w:t>Schindelmeiser</w:t>
      </w:r>
      <w:proofErr w:type="spellEnd"/>
      <w:r w:rsidR="00091B70" w:rsidRPr="00091B70">
        <w:rPr>
          <w:rFonts w:ascii="Times New Roman" w:hAnsi="Times New Roman"/>
          <w:sz w:val="24"/>
          <w:szCs w:val="24"/>
        </w:rPr>
        <w:t>, 2013</w:t>
      </w:r>
      <w:r>
        <w:rPr>
          <w:rFonts w:ascii="Times New Roman" w:hAnsi="Times New Roman"/>
          <w:sz w:val="24"/>
          <w:szCs w:val="24"/>
        </w:rPr>
        <w:t>)</w:t>
      </w:r>
    </w:p>
    <w:p w14:paraId="58E21553" w14:textId="77777777" w:rsidR="00146CE2" w:rsidRPr="00BF0161" w:rsidRDefault="00146CE2">
      <w:pPr>
        <w:spacing w:after="120" w:line="360" w:lineRule="auto"/>
        <w:jc w:val="both"/>
        <w:rPr>
          <w:lang w:val="el-GR"/>
        </w:rPr>
      </w:pPr>
    </w:p>
    <w:p w14:paraId="7459067D" w14:textId="77777777" w:rsidR="00146CE2" w:rsidRPr="00BF0161" w:rsidRDefault="00DB0AA3">
      <w:pPr>
        <w:spacing w:after="120" w:line="360" w:lineRule="auto"/>
        <w:jc w:val="both"/>
        <w:rPr>
          <w:lang w:val="el-GR"/>
        </w:rPr>
      </w:pPr>
      <w:r w:rsidRPr="00BF0161">
        <w:rPr>
          <w:lang w:val="el-GR"/>
        </w:rPr>
        <w:t>Όσον αφορά το ιατρικό ιστορικό, αυτό περιλαμβάνει :</w:t>
      </w:r>
    </w:p>
    <w:p w14:paraId="165AD47C" w14:textId="77777777" w:rsidR="00146CE2" w:rsidRDefault="00DB0AA3">
      <w:pPr>
        <w:pStyle w:val="a5"/>
        <w:numPr>
          <w:ilvl w:val="0"/>
          <w:numId w:val="14"/>
        </w:numPr>
        <w:spacing w:after="120" w:line="360" w:lineRule="auto"/>
        <w:jc w:val="both"/>
        <w:rPr>
          <w:rFonts w:ascii="Times New Roman" w:hAnsi="Times New Roman"/>
          <w:sz w:val="24"/>
          <w:szCs w:val="24"/>
        </w:rPr>
      </w:pPr>
      <w:r>
        <w:rPr>
          <w:rFonts w:ascii="Times New Roman" w:hAnsi="Times New Roman"/>
          <w:sz w:val="24"/>
          <w:szCs w:val="24"/>
        </w:rPr>
        <w:t>Στοιχεία γενικής υγείας</w:t>
      </w:r>
    </w:p>
    <w:p w14:paraId="35966241" w14:textId="77777777" w:rsidR="00146CE2" w:rsidRDefault="00DB0AA3">
      <w:pPr>
        <w:pStyle w:val="a5"/>
        <w:numPr>
          <w:ilvl w:val="0"/>
          <w:numId w:val="14"/>
        </w:numPr>
        <w:spacing w:after="120" w:line="360" w:lineRule="auto"/>
        <w:jc w:val="both"/>
        <w:rPr>
          <w:rFonts w:ascii="Times New Roman" w:hAnsi="Times New Roman"/>
          <w:sz w:val="24"/>
          <w:szCs w:val="24"/>
        </w:rPr>
      </w:pPr>
      <w:r>
        <w:rPr>
          <w:rFonts w:ascii="Times New Roman" w:hAnsi="Times New Roman"/>
          <w:sz w:val="24"/>
          <w:szCs w:val="24"/>
        </w:rPr>
        <w:t>Ιατρικό ιστορικό οικογένειας</w:t>
      </w:r>
    </w:p>
    <w:p w14:paraId="65441CD8" w14:textId="77777777" w:rsidR="00146CE2" w:rsidRDefault="00DB0AA3">
      <w:pPr>
        <w:pStyle w:val="a5"/>
        <w:numPr>
          <w:ilvl w:val="0"/>
          <w:numId w:val="14"/>
        </w:numPr>
        <w:spacing w:after="120" w:line="360" w:lineRule="auto"/>
        <w:jc w:val="both"/>
        <w:rPr>
          <w:rFonts w:ascii="Times New Roman" w:hAnsi="Times New Roman"/>
          <w:sz w:val="24"/>
          <w:szCs w:val="24"/>
        </w:rPr>
      </w:pPr>
      <w:r>
        <w:rPr>
          <w:rFonts w:ascii="Times New Roman" w:hAnsi="Times New Roman"/>
          <w:sz w:val="24"/>
          <w:szCs w:val="24"/>
        </w:rPr>
        <w:t>Προηγούμενες εξετάσεις για την αξιολόγηση της κατάποσης</w:t>
      </w:r>
    </w:p>
    <w:p w14:paraId="01138462" w14:textId="77777777" w:rsidR="00146CE2" w:rsidRDefault="00DB0AA3">
      <w:pPr>
        <w:pStyle w:val="a5"/>
        <w:numPr>
          <w:ilvl w:val="0"/>
          <w:numId w:val="14"/>
        </w:numPr>
        <w:spacing w:after="120" w:line="360" w:lineRule="auto"/>
        <w:jc w:val="both"/>
        <w:rPr>
          <w:rFonts w:ascii="Times New Roman" w:hAnsi="Times New Roman"/>
          <w:sz w:val="24"/>
          <w:szCs w:val="24"/>
        </w:rPr>
      </w:pPr>
      <w:r>
        <w:rPr>
          <w:rFonts w:ascii="Times New Roman" w:hAnsi="Times New Roman"/>
          <w:sz w:val="24"/>
          <w:szCs w:val="24"/>
        </w:rPr>
        <w:lastRenderedPageBreak/>
        <w:t>Νευρολογικές παθήσεις</w:t>
      </w:r>
    </w:p>
    <w:p w14:paraId="64CA4505" w14:textId="77777777" w:rsidR="00146CE2" w:rsidRDefault="00DB0AA3">
      <w:pPr>
        <w:pStyle w:val="a5"/>
        <w:numPr>
          <w:ilvl w:val="0"/>
          <w:numId w:val="14"/>
        </w:numPr>
        <w:spacing w:after="120" w:line="360" w:lineRule="auto"/>
        <w:jc w:val="both"/>
        <w:rPr>
          <w:rFonts w:ascii="Times New Roman" w:hAnsi="Times New Roman"/>
          <w:sz w:val="24"/>
          <w:szCs w:val="24"/>
        </w:rPr>
      </w:pPr>
      <w:r>
        <w:rPr>
          <w:rFonts w:ascii="Times New Roman" w:hAnsi="Times New Roman"/>
          <w:sz w:val="24"/>
          <w:szCs w:val="24"/>
        </w:rPr>
        <w:t>Πνευμονικές παθήσεις</w:t>
      </w:r>
    </w:p>
    <w:p w14:paraId="3EC6AB1B" w14:textId="77777777" w:rsidR="00146CE2" w:rsidRDefault="00DB0AA3">
      <w:pPr>
        <w:pStyle w:val="a5"/>
        <w:numPr>
          <w:ilvl w:val="0"/>
          <w:numId w:val="14"/>
        </w:numPr>
        <w:spacing w:after="120" w:line="360" w:lineRule="auto"/>
        <w:jc w:val="both"/>
        <w:rPr>
          <w:rFonts w:ascii="Times New Roman" w:hAnsi="Times New Roman"/>
          <w:sz w:val="24"/>
          <w:szCs w:val="24"/>
        </w:rPr>
      </w:pPr>
      <w:r>
        <w:rPr>
          <w:rFonts w:ascii="Times New Roman" w:hAnsi="Times New Roman"/>
          <w:sz w:val="24"/>
          <w:szCs w:val="24"/>
        </w:rPr>
        <w:t>Χειρουργικές επεμβάσεις</w:t>
      </w:r>
    </w:p>
    <w:p w14:paraId="669F0B64" w14:textId="77777777" w:rsidR="00146CE2" w:rsidRDefault="00DB0AA3">
      <w:pPr>
        <w:pStyle w:val="a5"/>
        <w:numPr>
          <w:ilvl w:val="0"/>
          <w:numId w:val="14"/>
        </w:numPr>
        <w:spacing w:after="120" w:line="360" w:lineRule="auto"/>
        <w:jc w:val="both"/>
        <w:rPr>
          <w:rFonts w:ascii="Times New Roman" w:hAnsi="Times New Roman"/>
          <w:sz w:val="24"/>
          <w:szCs w:val="24"/>
        </w:rPr>
      </w:pPr>
      <w:r>
        <w:rPr>
          <w:rFonts w:ascii="Times New Roman" w:hAnsi="Times New Roman"/>
          <w:sz w:val="24"/>
          <w:szCs w:val="24"/>
        </w:rPr>
        <w:t>Έκθεση σε ακτινοβολία</w:t>
      </w:r>
    </w:p>
    <w:p w14:paraId="7E84DA55" w14:textId="77777777" w:rsidR="00146CE2" w:rsidRDefault="00DB0AA3">
      <w:pPr>
        <w:pStyle w:val="a5"/>
        <w:numPr>
          <w:ilvl w:val="0"/>
          <w:numId w:val="14"/>
        </w:numPr>
        <w:spacing w:after="120" w:line="360" w:lineRule="auto"/>
        <w:jc w:val="both"/>
        <w:rPr>
          <w:rFonts w:ascii="Times New Roman" w:hAnsi="Times New Roman"/>
          <w:sz w:val="24"/>
          <w:szCs w:val="24"/>
        </w:rPr>
      </w:pPr>
      <w:r>
        <w:rPr>
          <w:rFonts w:ascii="Times New Roman" w:hAnsi="Times New Roman"/>
          <w:sz w:val="24"/>
          <w:szCs w:val="24"/>
        </w:rPr>
        <w:t>Ψυχιατρικό/ ψυχολογικό ιστορικό</w:t>
      </w:r>
    </w:p>
    <w:p w14:paraId="49B8FB5F" w14:textId="77777777" w:rsidR="00146CE2" w:rsidRDefault="00DB0AA3">
      <w:pPr>
        <w:pStyle w:val="a5"/>
        <w:numPr>
          <w:ilvl w:val="0"/>
          <w:numId w:val="14"/>
        </w:numPr>
        <w:spacing w:after="120" w:line="360" w:lineRule="auto"/>
        <w:jc w:val="both"/>
        <w:rPr>
          <w:rFonts w:ascii="Times New Roman" w:hAnsi="Times New Roman"/>
          <w:sz w:val="24"/>
          <w:szCs w:val="24"/>
        </w:rPr>
      </w:pPr>
      <w:r>
        <w:rPr>
          <w:rFonts w:ascii="Times New Roman" w:hAnsi="Times New Roman"/>
          <w:sz w:val="24"/>
          <w:szCs w:val="24"/>
        </w:rPr>
        <w:t>Τρέχουσες θεραπείες</w:t>
      </w:r>
    </w:p>
    <w:p w14:paraId="5890352A" w14:textId="77777777" w:rsidR="00146CE2" w:rsidRDefault="00DB0AA3">
      <w:pPr>
        <w:pStyle w:val="a5"/>
        <w:numPr>
          <w:ilvl w:val="0"/>
          <w:numId w:val="14"/>
        </w:numPr>
        <w:spacing w:after="120" w:line="360" w:lineRule="auto"/>
        <w:jc w:val="both"/>
        <w:rPr>
          <w:rFonts w:ascii="Times New Roman" w:hAnsi="Times New Roman"/>
          <w:sz w:val="24"/>
          <w:szCs w:val="24"/>
        </w:rPr>
      </w:pPr>
      <w:r>
        <w:rPr>
          <w:rFonts w:ascii="Times New Roman" w:hAnsi="Times New Roman"/>
          <w:sz w:val="24"/>
          <w:szCs w:val="24"/>
        </w:rPr>
        <w:t>Φαρμακευτική αγωγή (τωρινή και στο παρελθόν) (</w:t>
      </w:r>
      <w:proofErr w:type="spellStart"/>
      <w:r>
        <w:rPr>
          <w:rFonts w:ascii="Times New Roman" w:hAnsi="Times New Roman"/>
          <w:sz w:val="24"/>
          <w:szCs w:val="24"/>
          <w:lang w:val="en-US"/>
        </w:rPr>
        <w:t>Groher</w:t>
      </w:r>
      <w:proofErr w:type="spellEnd"/>
      <w:r>
        <w:rPr>
          <w:rFonts w:ascii="Times New Roman" w:hAnsi="Times New Roman"/>
          <w:sz w:val="24"/>
          <w:szCs w:val="24"/>
        </w:rPr>
        <w:t>, 1997</w:t>
      </w:r>
      <w:r w:rsidR="003E0A3E" w:rsidRPr="003E0A3E">
        <w:rPr>
          <w:rFonts w:ascii="Times New Roman" w:hAnsi="Times New Roman"/>
          <w:sz w:val="24"/>
          <w:szCs w:val="24"/>
        </w:rPr>
        <w:t xml:space="preserve">; </w:t>
      </w:r>
      <w:proofErr w:type="spellStart"/>
      <w:r w:rsidR="003E0A3E">
        <w:rPr>
          <w:rFonts w:ascii="Times New Roman" w:hAnsi="Times New Roman"/>
          <w:sz w:val="24"/>
          <w:szCs w:val="24"/>
          <w:lang w:val="en-US"/>
        </w:rPr>
        <w:t>Schindelmeiser</w:t>
      </w:r>
      <w:proofErr w:type="spellEnd"/>
      <w:r w:rsidR="003E0A3E" w:rsidRPr="003E0A3E">
        <w:rPr>
          <w:rFonts w:ascii="Times New Roman" w:hAnsi="Times New Roman"/>
          <w:sz w:val="24"/>
          <w:szCs w:val="24"/>
        </w:rPr>
        <w:t>, 2013</w:t>
      </w:r>
      <w:r>
        <w:rPr>
          <w:rFonts w:ascii="Times New Roman" w:hAnsi="Times New Roman"/>
          <w:sz w:val="24"/>
          <w:szCs w:val="24"/>
        </w:rPr>
        <w:t>)</w:t>
      </w:r>
    </w:p>
    <w:p w14:paraId="2F547B4E" w14:textId="77777777" w:rsidR="00146CE2" w:rsidRPr="00BF0161" w:rsidRDefault="00DB0AA3">
      <w:pPr>
        <w:spacing w:after="120" w:line="360" w:lineRule="auto"/>
        <w:jc w:val="both"/>
        <w:rPr>
          <w:lang w:val="el-GR"/>
        </w:rPr>
      </w:pPr>
      <w:r w:rsidRPr="00BF0161">
        <w:rPr>
          <w:lang w:val="el-GR"/>
        </w:rPr>
        <w:t>Κάποιες ενδεικτικές ερωτήσεις για ασθενείς που εξετάζονται για διαταραχές δυσφαγίας είναι: «Πότε εμφανίστηκε η διαταραχή σας;», «Χειροτέρευσε σταδιακά</w:t>
      </w:r>
      <w:r w:rsidR="00953D1A">
        <w:rPr>
          <w:lang w:val="el-GR"/>
        </w:rPr>
        <w:t xml:space="preserve"> ή ραγδαία;»,       «Πώ</w:t>
      </w:r>
      <w:r w:rsidRPr="00BF0161">
        <w:rPr>
          <w:lang w:val="el-GR"/>
        </w:rPr>
        <w:t>ς διαφέρει το πρόβλημα ανάλογα με την σύσταση των φαγητών;» (</w:t>
      </w:r>
      <w:proofErr w:type="spellStart"/>
      <w:r>
        <w:rPr>
          <w:lang w:val="en-US"/>
        </w:rPr>
        <w:t>Logemann</w:t>
      </w:r>
      <w:proofErr w:type="spellEnd"/>
      <w:r w:rsidRPr="00BF0161">
        <w:rPr>
          <w:lang w:val="el-GR"/>
        </w:rPr>
        <w:t>, 1998</w:t>
      </w:r>
      <w:r w:rsidR="00282A9C" w:rsidRPr="004534C9">
        <w:rPr>
          <w:lang w:val="el-GR"/>
        </w:rPr>
        <w:t xml:space="preserve">; </w:t>
      </w:r>
      <w:r w:rsidR="00282A9C" w:rsidRPr="00282A9C">
        <w:rPr>
          <w:lang w:val="en-US"/>
        </w:rPr>
        <w:t>Murry</w:t>
      </w:r>
      <w:r w:rsidR="00282A9C" w:rsidRPr="004534C9">
        <w:rPr>
          <w:lang w:val="el-GR"/>
        </w:rPr>
        <w:t xml:space="preserve"> &amp; </w:t>
      </w:r>
      <w:proofErr w:type="spellStart"/>
      <w:r w:rsidR="00282A9C" w:rsidRPr="00282A9C">
        <w:rPr>
          <w:lang w:val="en-US"/>
        </w:rPr>
        <w:t>Carrau</w:t>
      </w:r>
      <w:proofErr w:type="spellEnd"/>
      <w:r w:rsidR="00282A9C" w:rsidRPr="004534C9">
        <w:rPr>
          <w:lang w:val="el-GR"/>
        </w:rPr>
        <w:t>, 2014</w:t>
      </w:r>
      <w:r w:rsidRPr="00BF0161">
        <w:rPr>
          <w:lang w:val="el-GR"/>
        </w:rPr>
        <w:t xml:space="preserve">). </w:t>
      </w:r>
    </w:p>
    <w:p w14:paraId="570B1A27" w14:textId="77777777" w:rsidR="00146CE2" w:rsidRPr="00BF0161" w:rsidRDefault="00146CE2">
      <w:pPr>
        <w:spacing w:after="120" w:line="360" w:lineRule="auto"/>
        <w:jc w:val="both"/>
        <w:rPr>
          <w:b/>
          <w:lang w:val="el-GR"/>
        </w:rPr>
      </w:pPr>
    </w:p>
    <w:p w14:paraId="5FF73A8F" w14:textId="77777777" w:rsidR="00146CE2" w:rsidRPr="00456D14" w:rsidRDefault="00DB0AA3" w:rsidP="00456D14">
      <w:pPr>
        <w:pStyle w:val="2"/>
        <w:spacing w:before="0" w:line="360" w:lineRule="auto"/>
        <w:rPr>
          <w:b/>
        </w:rPr>
      </w:pPr>
      <w:bookmarkStart w:id="30" w:name="_Toc493323974"/>
      <w:r w:rsidRPr="00456D14">
        <w:rPr>
          <w:b/>
        </w:rPr>
        <w:t>1.5.2 Ιατρικές μέθοδοι αξιολόγησης της κατάποσης</w:t>
      </w:r>
      <w:bookmarkEnd w:id="30"/>
    </w:p>
    <w:p w14:paraId="2A8E6B79" w14:textId="77777777" w:rsidR="00146CE2" w:rsidRPr="00BF0161" w:rsidRDefault="00DB0AA3">
      <w:pPr>
        <w:spacing w:after="120" w:line="360" w:lineRule="auto"/>
        <w:jc w:val="both"/>
        <w:rPr>
          <w:lang w:val="el-GR"/>
        </w:rPr>
      </w:pPr>
      <w:r w:rsidRPr="00BF0161">
        <w:rPr>
          <w:lang w:val="el-GR"/>
        </w:rPr>
        <w:t>Τόσο για τη μελέτη, όσο και για την αξιολόγηση της φυσιολογικής και της παθολογικής κατάποσης, εφαρμόζονται απεικονιστικές και μη απεικονιστι</w:t>
      </w:r>
      <w:r w:rsidRPr="00BF0161">
        <w:rPr>
          <w:lang w:val="el-GR"/>
        </w:rPr>
        <w:lastRenderedPageBreak/>
        <w:t xml:space="preserve">κές τεχνικές, οι οποίες παρέχουν πληροφορίες για την ανατομία του </w:t>
      </w:r>
      <w:proofErr w:type="spellStart"/>
      <w:r w:rsidRPr="00BF0161">
        <w:rPr>
          <w:lang w:val="el-GR"/>
        </w:rPr>
        <w:t>στοματοφάρυγγα</w:t>
      </w:r>
      <w:proofErr w:type="spellEnd"/>
      <w:r w:rsidRPr="00BF0161">
        <w:rPr>
          <w:lang w:val="el-GR"/>
        </w:rPr>
        <w:t xml:space="preserve">, τη φυσιολογία ή τον τρόπο κατάποσης της τροφής. Κρίνεται απαραίτητη η εξοικείωση του λογοθεραπευτή με τις παραπάνω τεχνικές </w:t>
      </w:r>
      <w:bookmarkStart w:id="31" w:name="_Hlk483161286"/>
      <w:bookmarkEnd w:id="31"/>
      <w:r w:rsidRPr="00BF0161">
        <w:rPr>
          <w:lang w:val="el-GR"/>
        </w:rPr>
        <w:t xml:space="preserve">(Μεσσήνης &amp; Αντωνιάδης, 2010). </w:t>
      </w:r>
    </w:p>
    <w:p w14:paraId="34BDCD89" w14:textId="77777777" w:rsidR="005D0950" w:rsidRPr="00BF0161" w:rsidRDefault="005D0950">
      <w:pPr>
        <w:spacing w:after="120" w:line="360" w:lineRule="auto"/>
        <w:jc w:val="both"/>
        <w:rPr>
          <w:lang w:val="el-GR"/>
        </w:rPr>
      </w:pPr>
    </w:p>
    <w:p w14:paraId="7082CCAB" w14:textId="77777777" w:rsidR="00146CE2" w:rsidRPr="00456D14" w:rsidRDefault="00DB0AA3" w:rsidP="00456D14">
      <w:pPr>
        <w:pStyle w:val="2"/>
        <w:spacing w:before="0" w:line="360" w:lineRule="auto"/>
        <w:rPr>
          <w:b/>
        </w:rPr>
      </w:pPr>
      <w:bookmarkStart w:id="32" w:name="_Toc493323975"/>
      <w:r w:rsidRPr="00456D14">
        <w:rPr>
          <w:b/>
        </w:rPr>
        <w:t>1.5.2.1 Απεικονιστικές μέθοδοι</w:t>
      </w:r>
      <w:bookmarkEnd w:id="32"/>
      <w:r w:rsidRPr="00456D14">
        <w:rPr>
          <w:b/>
        </w:rPr>
        <w:t xml:space="preserve"> </w:t>
      </w:r>
    </w:p>
    <w:p w14:paraId="64F2BC65" w14:textId="77777777" w:rsidR="00146CE2" w:rsidRPr="00BF0161" w:rsidRDefault="00DB0AA3">
      <w:pPr>
        <w:spacing w:after="120" w:line="360" w:lineRule="auto"/>
        <w:jc w:val="both"/>
        <w:rPr>
          <w:lang w:val="el-GR"/>
        </w:rPr>
      </w:pPr>
      <w:r w:rsidRPr="00BF0161">
        <w:rPr>
          <w:lang w:val="el-GR"/>
        </w:rPr>
        <w:t>Ο σκοπός των απεικονιστικών μεθόδων είναι: να εντοπίσουν τους ασθενείς υψηλού κινδύνου, έτσι ώστε να προχωρήσουν σε περαιτέρω αξιολόγηση. Προσφέρουν άμεσα αποδεικτικά στοιχεία για την ύπαρξη διαταραχής στην κατάποση, όχι όμως πληροφορίες για την αιτιολογία της. Σε όλες τις περιπτώσεις, οι τεχνικές θα πρέπει να έχουν σύντομο χρόνο εφαρμογής και να είναι ανώδυνες (</w:t>
      </w:r>
      <w:proofErr w:type="spellStart"/>
      <w:r>
        <w:rPr>
          <w:lang w:val="en-US"/>
        </w:rPr>
        <w:t>Logemann</w:t>
      </w:r>
      <w:proofErr w:type="spellEnd"/>
      <w:r w:rsidRPr="00BF0161">
        <w:rPr>
          <w:lang w:val="el-GR"/>
        </w:rPr>
        <w:t>, 1998</w:t>
      </w:r>
      <w:r w:rsidR="00A31B88" w:rsidRPr="00A31B88">
        <w:rPr>
          <w:lang w:val="el-GR"/>
        </w:rPr>
        <w:t xml:space="preserve">; </w:t>
      </w:r>
      <w:r w:rsidR="00A31B88">
        <w:rPr>
          <w:lang w:val="en-US"/>
        </w:rPr>
        <w:t>Corbin</w:t>
      </w:r>
      <w:r w:rsidR="00A31B88" w:rsidRPr="00A31B88">
        <w:rPr>
          <w:lang w:val="el-GR"/>
        </w:rPr>
        <w:t>-</w:t>
      </w:r>
      <w:r w:rsidR="00A31B88">
        <w:rPr>
          <w:lang w:val="en-US"/>
        </w:rPr>
        <w:t>Lewis</w:t>
      </w:r>
      <w:r w:rsidR="008A160F" w:rsidRPr="008A160F">
        <w:rPr>
          <w:lang w:val="el-GR"/>
        </w:rPr>
        <w:t xml:space="preserve">, </w:t>
      </w:r>
      <w:proofErr w:type="spellStart"/>
      <w:r w:rsidR="008A160F">
        <w:rPr>
          <w:lang w:val="en-US"/>
        </w:rPr>
        <w:t>Liss</w:t>
      </w:r>
      <w:proofErr w:type="spellEnd"/>
      <w:r w:rsidR="00D17D31" w:rsidRPr="00D17D31">
        <w:rPr>
          <w:lang w:val="el-GR"/>
        </w:rPr>
        <w:t xml:space="preserve"> </w:t>
      </w:r>
      <w:r w:rsidR="00D932F0">
        <w:rPr>
          <w:lang w:val="el-GR"/>
        </w:rPr>
        <w:t>&amp;</w:t>
      </w:r>
      <w:r w:rsidR="008A160F" w:rsidRPr="008A160F">
        <w:rPr>
          <w:lang w:val="el-GR"/>
        </w:rPr>
        <w:t xml:space="preserve"> </w:t>
      </w:r>
      <w:proofErr w:type="spellStart"/>
      <w:r w:rsidR="008A160F">
        <w:rPr>
          <w:lang w:val="en-US"/>
        </w:rPr>
        <w:t>Sciortino</w:t>
      </w:r>
      <w:proofErr w:type="spellEnd"/>
      <w:r w:rsidR="007C6DDC">
        <w:rPr>
          <w:lang w:val="el-GR"/>
        </w:rPr>
        <w:t xml:space="preserve">, </w:t>
      </w:r>
      <w:r w:rsidR="008A160F" w:rsidRPr="008A160F">
        <w:rPr>
          <w:lang w:val="el-GR"/>
        </w:rPr>
        <w:t>2005</w:t>
      </w:r>
      <w:r w:rsidRPr="00BF0161">
        <w:rPr>
          <w:lang w:val="el-GR"/>
        </w:rPr>
        <w:t xml:space="preserve">). </w:t>
      </w:r>
    </w:p>
    <w:p w14:paraId="4F326DB2" w14:textId="77777777" w:rsidR="00146CE2" w:rsidRDefault="00DB0AA3">
      <w:pPr>
        <w:pStyle w:val="a5"/>
        <w:numPr>
          <w:ilvl w:val="0"/>
          <w:numId w:val="5"/>
        </w:numPr>
        <w:spacing w:after="120" w:line="360" w:lineRule="auto"/>
        <w:jc w:val="both"/>
        <w:rPr>
          <w:rFonts w:ascii="Times New Roman" w:hAnsi="Times New Roman"/>
          <w:sz w:val="24"/>
        </w:rPr>
      </w:pPr>
      <w:r>
        <w:rPr>
          <w:rFonts w:ascii="Times New Roman" w:hAnsi="Times New Roman"/>
          <w:i/>
          <w:sz w:val="24"/>
          <w:szCs w:val="24"/>
        </w:rPr>
        <w:t>Υπέρηχοι:</w:t>
      </w:r>
      <w:r>
        <w:rPr>
          <w:rFonts w:ascii="Times New Roman" w:hAnsi="Times New Roman"/>
          <w:sz w:val="24"/>
          <w:szCs w:val="24"/>
        </w:rPr>
        <w:t xml:space="preserve"> Οι υπέρηχοι χρησιμοποιούνται για την μελέτη της στοματικής κοιλότητας και συγκεκριμένα της γλωσσικής λειτουργίας, καθώς και για τη διάρκεια μεταβίβασης από το ένα στάδιο κατάποσης στο άλλο και της κίνησης του υοειδούς οστού </w:t>
      </w:r>
      <w:r>
        <w:rPr>
          <w:rFonts w:ascii="Times New Roman" w:hAnsi="Times New Roman"/>
          <w:sz w:val="24"/>
        </w:rPr>
        <w:t>(Μεσσήνης &amp; Αντωνιάδης, 2010</w:t>
      </w:r>
      <w:r w:rsidR="009D1BFC" w:rsidRPr="009D1BFC">
        <w:rPr>
          <w:rFonts w:ascii="Times New Roman" w:hAnsi="Times New Roman"/>
          <w:sz w:val="24"/>
        </w:rPr>
        <w:t xml:space="preserve">; </w:t>
      </w:r>
      <w:proofErr w:type="spellStart"/>
      <w:r w:rsidR="009D1BFC">
        <w:rPr>
          <w:rFonts w:ascii="Times New Roman" w:hAnsi="Times New Roman"/>
          <w:sz w:val="24"/>
        </w:rPr>
        <w:t>Καμπανάρου</w:t>
      </w:r>
      <w:proofErr w:type="spellEnd"/>
      <w:r w:rsidR="009D1BFC">
        <w:rPr>
          <w:rFonts w:ascii="Times New Roman" w:hAnsi="Times New Roman"/>
          <w:sz w:val="24"/>
        </w:rPr>
        <w:t>, 2007</w:t>
      </w:r>
      <w:r>
        <w:rPr>
          <w:rFonts w:ascii="Times New Roman" w:hAnsi="Times New Roman"/>
          <w:sz w:val="24"/>
        </w:rPr>
        <w:t xml:space="preserve">). Ένα μειονέκτημα αυτής της τεχνικής σύμφωνα με τους </w:t>
      </w:r>
      <w:bookmarkStart w:id="33" w:name="_Hlk492037227"/>
      <w:bookmarkStart w:id="34" w:name="_Hlk483162661"/>
      <w:r>
        <w:rPr>
          <w:rFonts w:ascii="Times New Roman" w:hAnsi="Times New Roman"/>
          <w:sz w:val="24"/>
          <w:lang w:val="en-US"/>
        </w:rPr>
        <w:t>Murry</w:t>
      </w:r>
      <w:r>
        <w:rPr>
          <w:rFonts w:ascii="Times New Roman" w:hAnsi="Times New Roman"/>
          <w:sz w:val="24"/>
        </w:rPr>
        <w:t xml:space="preserve"> &amp; </w:t>
      </w:r>
      <w:proofErr w:type="spellStart"/>
      <w:r>
        <w:rPr>
          <w:rFonts w:ascii="Times New Roman" w:hAnsi="Times New Roman"/>
          <w:sz w:val="24"/>
          <w:lang w:val="en-US"/>
        </w:rPr>
        <w:t>Carrau</w:t>
      </w:r>
      <w:proofErr w:type="spellEnd"/>
      <w:r>
        <w:rPr>
          <w:rFonts w:ascii="Times New Roman" w:hAnsi="Times New Roman"/>
          <w:sz w:val="24"/>
        </w:rPr>
        <w:t xml:space="preserve"> </w:t>
      </w:r>
      <w:bookmarkEnd w:id="33"/>
      <w:r>
        <w:rPr>
          <w:rFonts w:ascii="Times New Roman" w:hAnsi="Times New Roman"/>
          <w:sz w:val="24"/>
        </w:rPr>
        <w:lastRenderedPageBreak/>
        <w:t xml:space="preserve">(2014), </w:t>
      </w:r>
      <w:bookmarkEnd w:id="34"/>
      <w:r>
        <w:rPr>
          <w:rFonts w:ascii="Times New Roman" w:hAnsi="Times New Roman"/>
          <w:sz w:val="24"/>
        </w:rPr>
        <w:t xml:space="preserve">είναι η αδυναμία εφαρμογής τους στις περιοχές του φάρυγγα και του λάρυγγα με αποτέλεσμα, την έλλειψη επαρκών διαγνωστικών και θεραπευτικών πληροφοριών. </w:t>
      </w:r>
    </w:p>
    <w:p w14:paraId="5CA71AEE" w14:textId="77777777" w:rsidR="00146CE2" w:rsidRDefault="00DB0AA3" w:rsidP="00CA2412">
      <w:pPr>
        <w:pStyle w:val="a5"/>
        <w:numPr>
          <w:ilvl w:val="0"/>
          <w:numId w:val="5"/>
        </w:numPr>
        <w:spacing w:after="120" w:line="360" w:lineRule="auto"/>
        <w:jc w:val="both"/>
        <w:rPr>
          <w:rFonts w:ascii="Times New Roman" w:hAnsi="Times New Roman"/>
          <w:sz w:val="24"/>
        </w:rPr>
      </w:pPr>
      <w:proofErr w:type="spellStart"/>
      <w:r>
        <w:rPr>
          <w:rFonts w:ascii="Times New Roman" w:hAnsi="Times New Roman"/>
          <w:i/>
          <w:sz w:val="24"/>
          <w:szCs w:val="24"/>
        </w:rPr>
        <w:t>Βιντεοενδοσκόπησ</w:t>
      </w:r>
      <w:r>
        <w:rPr>
          <w:rFonts w:ascii="Times New Roman" w:hAnsi="Times New Roman"/>
          <w:sz w:val="24"/>
          <w:szCs w:val="24"/>
        </w:rPr>
        <w:t>η</w:t>
      </w:r>
      <w:proofErr w:type="spellEnd"/>
      <w:r>
        <w:rPr>
          <w:rFonts w:ascii="Times New Roman" w:hAnsi="Times New Roman"/>
          <w:sz w:val="24"/>
          <w:szCs w:val="24"/>
        </w:rPr>
        <w:t xml:space="preserve">: Πρόκειται για μία εξέταση, η οποία πραγματοποιείται από ιατρό και για τη διεξαγωγή της χρησιμοποιούνται μία οθόνη και ένα εύκαμπτο ενδοσκόπιο, που δίνουν την δυνατότητα παρακολούθησης της εξέτασης (Παπαδοπούλου, 2014). Το ενδοσκόπιο είναι ένας ελαστικός σωλήνας οπτικών ινών, ο οποίος εισάγεται από τη μύτη μέχρι τη μαλθακή υπερώα και ίσως πιο χαμηλά. Ορισμένες φορές κρίνεται απαραίτητη η χρήση τοπικής αναισθησίας στην ρινική περιοχή για την ανώδυνη διεξαγωγή της εξέτασης. Συγκεκριμένα, εξετάζονται ο φάρυγγας, τόσο ανατομικά, όσο και μετά την κατάποση, καθώς επίσης, και η στοματική κοιλότητα και ο λάρυγγας </w:t>
      </w:r>
      <w:r>
        <w:rPr>
          <w:rFonts w:ascii="Times New Roman" w:hAnsi="Times New Roman"/>
          <w:sz w:val="24"/>
        </w:rPr>
        <w:t>(Μεσσήνης &amp; Αντωνιάδης, 2010</w:t>
      </w:r>
      <w:r w:rsidR="004A0EAD" w:rsidRPr="004A0EAD">
        <w:rPr>
          <w:rFonts w:ascii="Times New Roman" w:hAnsi="Times New Roman"/>
          <w:sz w:val="24"/>
        </w:rPr>
        <w:t xml:space="preserve">; </w:t>
      </w:r>
      <w:proofErr w:type="spellStart"/>
      <w:r w:rsidR="00CA2412">
        <w:rPr>
          <w:rFonts w:ascii="Times New Roman" w:hAnsi="Times New Roman"/>
          <w:sz w:val="24"/>
        </w:rPr>
        <w:t>Κα</w:t>
      </w:r>
      <w:r w:rsidR="004A0EAD">
        <w:rPr>
          <w:rFonts w:ascii="Times New Roman" w:hAnsi="Times New Roman"/>
          <w:sz w:val="24"/>
        </w:rPr>
        <w:t>μπανάρου</w:t>
      </w:r>
      <w:proofErr w:type="spellEnd"/>
      <w:r w:rsidR="004A0EAD">
        <w:rPr>
          <w:rFonts w:ascii="Times New Roman" w:hAnsi="Times New Roman"/>
          <w:sz w:val="24"/>
        </w:rPr>
        <w:t>, 2007</w:t>
      </w:r>
      <w:r>
        <w:rPr>
          <w:rFonts w:ascii="Times New Roman" w:hAnsi="Times New Roman"/>
          <w:sz w:val="24"/>
        </w:rPr>
        <w:t>).</w:t>
      </w:r>
      <w:r>
        <w:rPr>
          <w:rFonts w:ascii="Times New Roman" w:hAnsi="Times New Roman"/>
          <w:sz w:val="24"/>
          <w:szCs w:val="24"/>
        </w:rPr>
        <w:t xml:space="preserve"> Παρέχει μία αρχική αξιολόγηση της </w:t>
      </w:r>
      <w:proofErr w:type="spellStart"/>
      <w:r>
        <w:rPr>
          <w:rFonts w:ascii="Times New Roman" w:hAnsi="Times New Roman"/>
          <w:sz w:val="24"/>
          <w:szCs w:val="24"/>
        </w:rPr>
        <w:t>καταποτικής</w:t>
      </w:r>
      <w:proofErr w:type="spellEnd"/>
      <w:r>
        <w:rPr>
          <w:rFonts w:ascii="Times New Roman" w:hAnsi="Times New Roman"/>
          <w:sz w:val="24"/>
          <w:szCs w:val="24"/>
        </w:rPr>
        <w:t xml:space="preserve"> διαταραχής  και εκτιμά αν είναι απαραίτητη κάποια συμπληρωματική διάγνωση (</w:t>
      </w:r>
      <w:proofErr w:type="spellStart"/>
      <w:r>
        <w:rPr>
          <w:rFonts w:ascii="Times New Roman" w:hAnsi="Times New Roman"/>
          <w:sz w:val="24"/>
          <w:szCs w:val="24"/>
          <w:lang w:val="en-US"/>
        </w:rPr>
        <w:t>Bigenzahn</w:t>
      </w:r>
      <w:proofErr w:type="spellEnd"/>
      <w:r>
        <w:rPr>
          <w:rFonts w:ascii="Times New Roman" w:hAnsi="Times New Roman"/>
          <w:sz w:val="24"/>
          <w:szCs w:val="24"/>
        </w:rPr>
        <w:t xml:space="preserve"> &amp; </w:t>
      </w:r>
      <w:proofErr w:type="spellStart"/>
      <w:r>
        <w:rPr>
          <w:rFonts w:ascii="Times New Roman" w:hAnsi="Times New Roman"/>
          <w:sz w:val="24"/>
          <w:szCs w:val="24"/>
          <w:lang w:val="en-US"/>
        </w:rPr>
        <w:t>Denk</w:t>
      </w:r>
      <w:proofErr w:type="spellEnd"/>
      <w:r>
        <w:rPr>
          <w:rFonts w:ascii="Times New Roman" w:hAnsi="Times New Roman"/>
          <w:sz w:val="24"/>
          <w:szCs w:val="24"/>
        </w:rPr>
        <w:t xml:space="preserve">, 2013). Ο ενδοσκοπικός σωλήνας  αξιολογεί την αισθητικότητα των παραπάνω δομών, αγγίζοντάς τες. Επιπρόσθετα, η </w:t>
      </w:r>
      <w:proofErr w:type="spellStart"/>
      <w:r>
        <w:rPr>
          <w:rFonts w:ascii="Times New Roman" w:hAnsi="Times New Roman"/>
          <w:sz w:val="24"/>
          <w:szCs w:val="24"/>
        </w:rPr>
        <w:lastRenderedPageBreak/>
        <w:t>βιντεοενδοσκόπηση</w:t>
      </w:r>
      <w:proofErr w:type="spellEnd"/>
      <w:r>
        <w:rPr>
          <w:rFonts w:ascii="Times New Roman" w:hAnsi="Times New Roman"/>
          <w:sz w:val="24"/>
          <w:szCs w:val="24"/>
        </w:rPr>
        <w:t xml:space="preserve"> είναι χρήσιμη για την εκτίμηση της ικανότητας του ατόμου να χρησιμοποιεί επιτυχώς τεχνικές φραγής των αεραγωγών, όπως η </w:t>
      </w:r>
      <w:proofErr w:type="spellStart"/>
      <w:r>
        <w:rPr>
          <w:rFonts w:ascii="Times New Roman" w:hAnsi="Times New Roman"/>
          <w:sz w:val="24"/>
          <w:szCs w:val="24"/>
        </w:rPr>
        <w:t>επιγλωττιδική</w:t>
      </w:r>
      <w:proofErr w:type="spellEnd"/>
      <w:r>
        <w:rPr>
          <w:rFonts w:ascii="Times New Roman" w:hAnsi="Times New Roman"/>
          <w:sz w:val="24"/>
          <w:szCs w:val="24"/>
        </w:rPr>
        <w:t xml:space="preserve"> κατάποση για το διάστημα πριν από την έναρξη της. Ένα θετικό της τεχνικής αυτής είναι ότι δεν εκτίθεται ο εξεταζόμενος σε ακτινοβολία. Ωστόσο, δεν  εξετάζεται το στοματικό στάδιο κατάποσης </w:t>
      </w:r>
      <w:r>
        <w:rPr>
          <w:rFonts w:ascii="Times New Roman" w:hAnsi="Times New Roman"/>
          <w:sz w:val="24"/>
        </w:rPr>
        <w:t>(Μεσσήνης &amp; Αντωνιάδης, 2010</w:t>
      </w:r>
      <w:r w:rsidR="00CA2412" w:rsidRPr="00462F63">
        <w:rPr>
          <w:rFonts w:ascii="Times New Roman" w:hAnsi="Times New Roman"/>
          <w:sz w:val="24"/>
        </w:rPr>
        <w:t xml:space="preserve">; </w:t>
      </w:r>
      <w:proofErr w:type="spellStart"/>
      <w:r w:rsidR="00CA2412" w:rsidRPr="00462F63">
        <w:rPr>
          <w:rFonts w:ascii="Times New Roman" w:hAnsi="Times New Roman"/>
          <w:sz w:val="24"/>
        </w:rPr>
        <w:t>Καμπανάρου</w:t>
      </w:r>
      <w:proofErr w:type="spellEnd"/>
      <w:r w:rsidR="00CA2412" w:rsidRPr="00462F63">
        <w:rPr>
          <w:rFonts w:ascii="Times New Roman" w:hAnsi="Times New Roman"/>
          <w:sz w:val="24"/>
        </w:rPr>
        <w:t>, 2007</w:t>
      </w:r>
      <w:r>
        <w:rPr>
          <w:rFonts w:ascii="Times New Roman" w:hAnsi="Times New Roman"/>
          <w:sz w:val="24"/>
        </w:rPr>
        <w:t>).</w:t>
      </w:r>
    </w:p>
    <w:p w14:paraId="11C1116D" w14:textId="77777777" w:rsidR="00146CE2" w:rsidRDefault="00DB0AA3" w:rsidP="003803F7">
      <w:pPr>
        <w:pStyle w:val="a5"/>
        <w:numPr>
          <w:ilvl w:val="0"/>
          <w:numId w:val="5"/>
        </w:numPr>
        <w:spacing w:after="120" w:line="360" w:lineRule="auto"/>
        <w:jc w:val="both"/>
        <w:rPr>
          <w:rFonts w:ascii="Times New Roman" w:hAnsi="Times New Roman"/>
          <w:sz w:val="24"/>
        </w:rPr>
      </w:pPr>
      <w:proofErr w:type="spellStart"/>
      <w:r>
        <w:rPr>
          <w:rFonts w:ascii="Times New Roman" w:hAnsi="Times New Roman"/>
          <w:i/>
          <w:sz w:val="24"/>
          <w:szCs w:val="24"/>
        </w:rPr>
        <w:t>Βιντεοφθοροσκόπηση</w:t>
      </w:r>
      <w:proofErr w:type="spellEnd"/>
      <w:r>
        <w:rPr>
          <w:rFonts w:ascii="Times New Roman" w:hAnsi="Times New Roman"/>
          <w:i/>
          <w:sz w:val="24"/>
          <w:szCs w:val="24"/>
        </w:rPr>
        <w:t xml:space="preserve"> (</w:t>
      </w:r>
      <w:proofErr w:type="spellStart"/>
      <w:r>
        <w:rPr>
          <w:rFonts w:ascii="Times New Roman" w:hAnsi="Times New Roman"/>
          <w:i/>
          <w:sz w:val="24"/>
          <w:szCs w:val="24"/>
        </w:rPr>
        <w:t>Βιντεοακτινοσκόπηση</w:t>
      </w:r>
      <w:proofErr w:type="spellEnd"/>
      <w:r>
        <w:rPr>
          <w:rFonts w:ascii="Times New Roman" w:hAnsi="Times New Roman"/>
          <w:i/>
          <w:sz w:val="24"/>
          <w:szCs w:val="24"/>
        </w:rPr>
        <w:t xml:space="preserve"> ή </w:t>
      </w:r>
      <w:proofErr w:type="spellStart"/>
      <w:r>
        <w:rPr>
          <w:rFonts w:ascii="Times New Roman" w:hAnsi="Times New Roman"/>
          <w:i/>
          <w:sz w:val="24"/>
          <w:szCs w:val="24"/>
        </w:rPr>
        <w:t>βιντεοφλουοροσκόπηση</w:t>
      </w:r>
      <w:proofErr w:type="spellEnd"/>
      <w:r>
        <w:rPr>
          <w:rFonts w:ascii="Times New Roman" w:hAnsi="Times New Roman"/>
          <w:i/>
          <w:sz w:val="24"/>
          <w:szCs w:val="24"/>
        </w:rPr>
        <w:t xml:space="preserve">): </w:t>
      </w:r>
      <w:r>
        <w:rPr>
          <w:rFonts w:ascii="Times New Roman" w:hAnsi="Times New Roman"/>
          <w:sz w:val="24"/>
          <w:szCs w:val="24"/>
        </w:rPr>
        <w:t xml:space="preserve">Η </w:t>
      </w:r>
      <w:proofErr w:type="spellStart"/>
      <w:r>
        <w:rPr>
          <w:rFonts w:ascii="Times New Roman" w:hAnsi="Times New Roman"/>
          <w:sz w:val="24"/>
          <w:szCs w:val="24"/>
        </w:rPr>
        <w:t>βιντεοφθοροσκόπηση</w:t>
      </w:r>
      <w:proofErr w:type="spellEnd"/>
      <w:r>
        <w:rPr>
          <w:rFonts w:ascii="Times New Roman" w:hAnsi="Times New Roman"/>
          <w:sz w:val="24"/>
          <w:szCs w:val="24"/>
        </w:rPr>
        <w:t xml:space="preserve"> είναι η συχνότερη απεικονιστική τεχνική, η οποία αξιολογεί τη </w:t>
      </w:r>
      <w:proofErr w:type="spellStart"/>
      <w:r>
        <w:rPr>
          <w:rFonts w:ascii="Times New Roman" w:hAnsi="Times New Roman"/>
          <w:sz w:val="24"/>
          <w:szCs w:val="24"/>
        </w:rPr>
        <w:t>στοματοφαρυγγική</w:t>
      </w:r>
      <w:proofErr w:type="spellEnd"/>
      <w:r>
        <w:rPr>
          <w:rFonts w:ascii="Times New Roman" w:hAnsi="Times New Roman"/>
          <w:sz w:val="24"/>
          <w:szCs w:val="24"/>
        </w:rPr>
        <w:t xml:space="preserve"> κατάποση </w:t>
      </w:r>
      <w:r>
        <w:rPr>
          <w:rFonts w:ascii="Times New Roman" w:hAnsi="Times New Roman"/>
          <w:sz w:val="24"/>
        </w:rPr>
        <w:t>(Μεσσήνης &amp; Αντωνιάδης, 2010</w:t>
      </w:r>
      <w:r w:rsidR="003803F7" w:rsidRPr="003803F7">
        <w:rPr>
          <w:rFonts w:ascii="Times New Roman" w:hAnsi="Times New Roman"/>
          <w:sz w:val="24"/>
        </w:rPr>
        <w:t>;</w:t>
      </w:r>
      <w:r w:rsidR="003803F7" w:rsidRPr="003803F7">
        <w:t xml:space="preserve"> </w:t>
      </w:r>
      <w:r w:rsidR="003803F7" w:rsidRPr="003803F7">
        <w:rPr>
          <w:rFonts w:ascii="Times New Roman" w:hAnsi="Times New Roman"/>
          <w:sz w:val="24"/>
          <w:lang w:val="en-US"/>
        </w:rPr>
        <w:t>Murry</w:t>
      </w:r>
      <w:r w:rsidR="003803F7" w:rsidRPr="003803F7">
        <w:rPr>
          <w:rFonts w:ascii="Times New Roman" w:hAnsi="Times New Roman"/>
          <w:sz w:val="24"/>
        </w:rPr>
        <w:t xml:space="preserve"> &amp; </w:t>
      </w:r>
      <w:proofErr w:type="spellStart"/>
      <w:r w:rsidR="003803F7" w:rsidRPr="003803F7">
        <w:rPr>
          <w:rFonts w:ascii="Times New Roman" w:hAnsi="Times New Roman"/>
          <w:sz w:val="24"/>
          <w:lang w:val="en-US"/>
        </w:rPr>
        <w:t>Carrau</w:t>
      </w:r>
      <w:proofErr w:type="spellEnd"/>
      <w:r w:rsidR="003803F7" w:rsidRPr="003803F7">
        <w:rPr>
          <w:rFonts w:ascii="Times New Roman" w:hAnsi="Times New Roman"/>
          <w:sz w:val="24"/>
        </w:rPr>
        <w:t xml:space="preserve">, 2014 </w:t>
      </w:r>
      <w:r>
        <w:rPr>
          <w:rFonts w:ascii="Times New Roman" w:hAnsi="Times New Roman"/>
          <w:sz w:val="24"/>
        </w:rPr>
        <w:t>).</w:t>
      </w:r>
      <w:r>
        <w:rPr>
          <w:rFonts w:ascii="Times New Roman" w:hAnsi="Times New Roman"/>
          <w:sz w:val="24"/>
          <w:szCs w:val="24"/>
        </w:rPr>
        <w:t xml:space="preserve"> Στόχος της είναι πρώτον, να εντοπίσει την ανατομία και την φυσιολογία των δομών που προκαλούν τα συμπτώματα των ασθενών και δεύτερον, να εξετάσει πιθανές στρατηγικές </w:t>
      </w:r>
      <w:r w:rsidR="00F46CFA">
        <w:rPr>
          <w:rFonts w:ascii="Times New Roman" w:hAnsi="Times New Roman"/>
          <w:sz w:val="24"/>
          <w:szCs w:val="24"/>
        </w:rPr>
        <w:t>για την ασφαλή και επαρκή σίτισή</w:t>
      </w:r>
      <w:r>
        <w:rPr>
          <w:rFonts w:ascii="Times New Roman" w:hAnsi="Times New Roman"/>
          <w:sz w:val="24"/>
          <w:szCs w:val="24"/>
        </w:rPr>
        <w:t xml:space="preserve"> τους (</w:t>
      </w:r>
      <w:proofErr w:type="spellStart"/>
      <w:r>
        <w:rPr>
          <w:rFonts w:ascii="Times New Roman" w:hAnsi="Times New Roman"/>
          <w:sz w:val="24"/>
          <w:szCs w:val="24"/>
          <w:lang w:val="en-US"/>
        </w:rPr>
        <w:t>Logemann</w:t>
      </w:r>
      <w:proofErr w:type="spellEnd"/>
      <w:r>
        <w:rPr>
          <w:rFonts w:ascii="Times New Roman" w:hAnsi="Times New Roman"/>
          <w:sz w:val="24"/>
          <w:szCs w:val="24"/>
        </w:rPr>
        <w:t>, 1998). Μελετώντας ο θεραπευτής το βίντεο σε αργή κίνηση, μπο</w:t>
      </w:r>
      <w:r w:rsidR="00E27121">
        <w:rPr>
          <w:rFonts w:ascii="Times New Roman" w:hAnsi="Times New Roman"/>
          <w:sz w:val="24"/>
          <w:szCs w:val="24"/>
        </w:rPr>
        <w:t>ρεί να αξιολογήσει όσο το δυνατό</w:t>
      </w:r>
      <w:r>
        <w:rPr>
          <w:rFonts w:ascii="Times New Roman" w:hAnsi="Times New Roman"/>
          <w:sz w:val="24"/>
          <w:szCs w:val="24"/>
        </w:rPr>
        <w:t xml:space="preserve">ν καλύτερα τις κινητικές διαταραχές κατάποσης, το χρόνο μετάβασης του βλωμού  και κυρίως την αιτιολογία αναγωγών. Ακόμη, εξετάζει τη δραστηριότητα της στοματικής κοιλότητας κατά την κατάποση και </w:t>
      </w:r>
      <w:r>
        <w:rPr>
          <w:rFonts w:ascii="Times New Roman" w:hAnsi="Times New Roman"/>
          <w:sz w:val="24"/>
          <w:szCs w:val="24"/>
        </w:rPr>
        <w:lastRenderedPageBreak/>
        <w:t xml:space="preserve">του στοματικού σταδίου, την έναρξη της φαρυγγικής κατάποσης συγκριτικά με τη θέση του βλωμού και τις κινητικές πλευρές της </w:t>
      </w:r>
      <w:r>
        <w:rPr>
          <w:rFonts w:ascii="Times New Roman" w:hAnsi="Times New Roman"/>
          <w:sz w:val="24"/>
        </w:rPr>
        <w:t>(Μεσσήνης &amp; Αντωνιάδης, 2010</w:t>
      </w:r>
      <w:r w:rsidR="00462F63" w:rsidRPr="00462F63">
        <w:rPr>
          <w:rFonts w:ascii="Times New Roman" w:hAnsi="Times New Roman"/>
          <w:sz w:val="24"/>
        </w:rPr>
        <w:t>;</w:t>
      </w:r>
      <w:r w:rsidR="00462F63" w:rsidRPr="00462F63">
        <w:t xml:space="preserve"> </w:t>
      </w:r>
      <w:proofErr w:type="spellStart"/>
      <w:r w:rsidR="00462F63" w:rsidRPr="00462F63">
        <w:rPr>
          <w:rFonts w:ascii="Times New Roman" w:hAnsi="Times New Roman"/>
          <w:sz w:val="24"/>
        </w:rPr>
        <w:t>Καμπανάρου</w:t>
      </w:r>
      <w:proofErr w:type="spellEnd"/>
      <w:r w:rsidR="00462F63" w:rsidRPr="00462F63">
        <w:rPr>
          <w:rFonts w:ascii="Times New Roman" w:hAnsi="Times New Roman"/>
          <w:sz w:val="24"/>
        </w:rPr>
        <w:t xml:space="preserve">, 2007 </w:t>
      </w:r>
      <w:r>
        <w:rPr>
          <w:rFonts w:ascii="Times New Roman" w:hAnsi="Times New Roman"/>
          <w:sz w:val="24"/>
        </w:rPr>
        <w:t>).</w:t>
      </w:r>
    </w:p>
    <w:p w14:paraId="36C64AD4" w14:textId="77777777" w:rsidR="00146CE2" w:rsidRDefault="00DB0AA3" w:rsidP="00080A6D">
      <w:pPr>
        <w:pStyle w:val="a5"/>
        <w:numPr>
          <w:ilvl w:val="0"/>
          <w:numId w:val="5"/>
        </w:numPr>
        <w:spacing w:after="120" w:line="360" w:lineRule="auto"/>
        <w:jc w:val="both"/>
        <w:rPr>
          <w:rFonts w:ascii="Times New Roman" w:hAnsi="Times New Roman"/>
          <w:sz w:val="24"/>
        </w:rPr>
      </w:pPr>
      <w:r>
        <w:rPr>
          <w:rFonts w:ascii="Times New Roman" w:hAnsi="Times New Roman"/>
          <w:i/>
          <w:sz w:val="24"/>
          <w:szCs w:val="24"/>
        </w:rPr>
        <w:t>Σπινθηρογράφημα:</w:t>
      </w:r>
      <w:r>
        <w:rPr>
          <w:rFonts w:ascii="Times New Roman" w:hAnsi="Times New Roman"/>
          <w:sz w:val="24"/>
          <w:szCs w:val="24"/>
        </w:rPr>
        <w:t xml:space="preserve"> Σύμφωνα με τους </w:t>
      </w:r>
      <w:r>
        <w:rPr>
          <w:rFonts w:ascii="Times New Roman" w:hAnsi="Times New Roman"/>
          <w:sz w:val="24"/>
        </w:rPr>
        <w:t>Μεσσήνη και Αντωνιάδη (2010), τ</w:t>
      </w:r>
      <w:r>
        <w:rPr>
          <w:rFonts w:ascii="Times New Roman" w:hAnsi="Times New Roman"/>
          <w:sz w:val="24"/>
          <w:szCs w:val="24"/>
        </w:rPr>
        <w:t>ο σπινθηρογράφημα «</w:t>
      </w:r>
      <w:r>
        <w:rPr>
          <w:rFonts w:ascii="Times New Roman" w:hAnsi="Times New Roman"/>
          <w:i/>
          <w:sz w:val="24"/>
          <w:szCs w:val="24"/>
        </w:rPr>
        <w:t>είναι μία αξιολογική τεχνική της πυρηνικής ιατρικής, στη διάρκεια της οποίας ο ασθενής καταπίνει συγκεκριμένες ποσότητες ραδιενεργού υλικού</w:t>
      </w:r>
      <w:r>
        <w:rPr>
          <w:rFonts w:ascii="Times New Roman" w:hAnsi="Times New Roman"/>
          <w:sz w:val="24"/>
          <w:szCs w:val="24"/>
        </w:rPr>
        <w:t xml:space="preserve">». Η τεχνική εντοπίζει την πορεία του βλωμού και προσδιορίζει  την ποσότητα  των υπολειμμάτων στον </w:t>
      </w:r>
      <w:proofErr w:type="spellStart"/>
      <w:r>
        <w:rPr>
          <w:rFonts w:ascii="Times New Roman" w:hAnsi="Times New Roman"/>
          <w:sz w:val="24"/>
          <w:szCs w:val="24"/>
        </w:rPr>
        <w:t>στοματοφάρυγγα</w:t>
      </w:r>
      <w:proofErr w:type="spellEnd"/>
      <w:r>
        <w:rPr>
          <w:rFonts w:ascii="Times New Roman" w:hAnsi="Times New Roman"/>
          <w:sz w:val="24"/>
          <w:szCs w:val="24"/>
        </w:rPr>
        <w:t>, τον φάρυγγα, τον λάρυγγα και την τραχεία (</w:t>
      </w:r>
      <w:r>
        <w:rPr>
          <w:rFonts w:ascii="Times New Roman" w:hAnsi="Times New Roman"/>
          <w:sz w:val="24"/>
          <w:lang w:val="en-US"/>
        </w:rPr>
        <w:t>Murry</w:t>
      </w:r>
      <w:r>
        <w:rPr>
          <w:rFonts w:ascii="Times New Roman" w:hAnsi="Times New Roman"/>
          <w:sz w:val="24"/>
        </w:rPr>
        <w:t xml:space="preserve"> &amp; </w:t>
      </w:r>
      <w:proofErr w:type="spellStart"/>
      <w:r>
        <w:rPr>
          <w:rFonts w:ascii="Times New Roman" w:hAnsi="Times New Roman"/>
          <w:sz w:val="24"/>
          <w:lang w:val="en-US"/>
        </w:rPr>
        <w:t>Carrau</w:t>
      </w:r>
      <w:proofErr w:type="spellEnd"/>
      <w:r>
        <w:rPr>
          <w:rFonts w:ascii="Times New Roman" w:hAnsi="Times New Roman"/>
          <w:sz w:val="24"/>
        </w:rPr>
        <w:t>, 2014), καθώς επίσης και οισοφαγικές δυσλειτουργίες, κυρίως τη γαστροοισοφαγική παλινδρόμηση</w:t>
      </w:r>
      <w:r w:rsidR="005A65B1" w:rsidRPr="005A65B1">
        <w:rPr>
          <w:rFonts w:ascii="Times New Roman" w:hAnsi="Times New Roman"/>
          <w:sz w:val="24"/>
        </w:rPr>
        <w:t xml:space="preserve"> (</w:t>
      </w:r>
      <w:r w:rsidR="005A65B1">
        <w:rPr>
          <w:rFonts w:ascii="Times New Roman" w:hAnsi="Times New Roman"/>
          <w:sz w:val="24"/>
        </w:rPr>
        <w:t>Παπαδοπούλου, 2014</w:t>
      </w:r>
      <w:r w:rsidR="005A65B1" w:rsidRPr="005A65B1">
        <w:rPr>
          <w:rFonts w:ascii="Times New Roman" w:hAnsi="Times New Roman"/>
          <w:sz w:val="24"/>
        </w:rPr>
        <w:t xml:space="preserve">; </w:t>
      </w:r>
      <w:proofErr w:type="spellStart"/>
      <w:r w:rsidR="005A65B1">
        <w:rPr>
          <w:rFonts w:ascii="Times New Roman" w:hAnsi="Times New Roman"/>
          <w:sz w:val="24"/>
        </w:rPr>
        <w:t>Καμπανάρου</w:t>
      </w:r>
      <w:proofErr w:type="spellEnd"/>
      <w:r w:rsidR="005A65B1">
        <w:rPr>
          <w:rFonts w:ascii="Times New Roman" w:hAnsi="Times New Roman"/>
          <w:sz w:val="24"/>
        </w:rPr>
        <w:t>, 2007)</w:t>
      </w:r>
      <w:r>
        <w:rPr>
          <w:rFonts w:ascii="Times New Roman" w:hAnsi="Times New Roman"/>
          <w:sz w:val="24"/>
        </w:rPr>
        <w:t>. Ένα μειονέκτημα της τεχνικής είναι η αδυναμία αναπαράστασης της φυσιολογίας της στοματικής κοιλότητας και του φάρυγγα (Παπαδοπούλου, 2014</w:t>
      </w:r>
      <w:r w:rsidR="00080A6D" w:rsidRPr="00080A6D">
        <w:rPr>
          <w:rFonts w:ascii="Times New Roman" w:hAnsi="Times New Roman"/>
          <w:sz w:val="24"/>
        </w:rPr>
        <w:t xml:space="preserve">; </w:t>
      </w:r>
      <w:proofErr w:type="spellStart"/>
      <w:r w:rsidR="00080A6D" w:rsidRPr="00080A6D">
        <w:rPr>
          <w:rFonts w:ascii="Times New Roman" w:hAnsi="Times New Roman"/>
          <w:sz w:val="24"/>
        </w:rPr>
        <w:t>Καμπανάρου</w:t>
      </w:r>
      <w:proofErr w:type="spellEnd"/>
      <w:r w:rsidR="00080A6D" w:rsidRPr="00080A6D">
        <w:rPr>
          <w:rFonts w:ascii="Times New Roman" w:hAnsi="Times New Roman"/>
          <w:sz w:val="24"/>
        </w:rPr>
        <w:t>, 2007</w:t>
      </w:r>
      <w:r>
        <w:rPr>
          <w:rFonts w:ascii="Times New Roman" w:hAnsi="Times New Roman"/>
          <w:sz w:val="24"/>
        </w:rPr>
        <w:t xml:space="preserve">). </w:t>
      </w:r>
    </w:p>
    <w:p w14:paraId="703184C0" w14:textId="77777777" w:rsidR="00146CE2" w:rsidRDefault="00DB0AA3" w:rsidP="00B9446B">
      <w:pPr>
        <w:pStyle w:val="a5"/>
        <w:numPr>
          <w:ilvl w:val="0"/>
          <w:numId w:val="5"/>
        </w:numPr>
        <w:spacing w:after="120" w:line="360" w:lineRule="auto"/>
        <w:jc w:val="both"/>
        <w:rPr>
          <w:rFonts w:ascii="Times New Roman" w:hAnsi="Times New Roman"/>
          <w:sz w:val="24"/>
          <w:szCs w:val="24"/>
        </w:rPr>
      </w:pPr>
      <w:r>
        <w:rPr>
          <w:rFonts w:ascii="Times New Roman" w:hAnsi="Times New Roman"/>
          <w:i/>
          <w:sz w:val="24"/>
          <w:szCs w:val="24"/>
        </w:rPr>
        <w:t>Κατάποση βαρίου:</w:t>
      </w:r>
      <w:r>
        <w:rPr>
          <w:rFonts w:ascii="Times New Roman" w:hAnsi="Times New Roman"/>
          <w:sz w:val="24"/>
          <w:szCs w:val="24"/>
        </w:rPr>
        <w:t xml:space="preserve"> Η κατάποση βαρίου είναι μία χρονοβόρα διαδικασία  που εξετάζει τον οισοφάγο, από το κάτω μέρος του λαιμού και ως την κοιλιά. Μπορεί να χρησιμοποιηθεί για την εξέταση της οισοφαγικής παλινδρόμησης, χωρίς όμως ιδιαίτερη επιτυχία. </w:t>
      </w:r>
      <w:r>
        <w:rPr>
          <w:rFonts w:ascii="Times New Roman" w:hAnsi="Times New Roman"/>
          <w:sz w:val="24"/>
          <w:szCs w:val="24"/>
        </w:rPr>
        <w:lastRenderedPageBreak/>
        <w:t>Κατά την διεξαγωγή της τεχνικής αυτής,  ο ασθενής καλείται να καταπιεί υγρό βάριο (</w:t>
      </w:r>
      <w:proofErr w:type="spellStart"/>
      <w:r>
        <w:rPr>
          <w:rFonts w:ascii="Times New Roman" w:hAnsi="Times New Roman"/>
          <w:sz w:val="24"/>
          <w:szCs w:val="24"/>
        </w:rPr>
        <w:t>Πρώιου</w:t>
      </w:r>
      <w:proofErr w:type="spellEnd"/>
      <w:r>
        <w:rPr>
          <w:rFonts w:ascii="Times New Roman" w:hAnsi="Times New Roman"/>
          <w:sz w:val="24"/>
          <w:szCs w:val="24"/>
        </w:rPr>
        <w:t>, 2003</w:t>
      </w:r>
      <w:r w:rsidR="00B9446B" w:rsidRPr="00B9446B">
        <w:rPr>
          <w:rFonts w:ascii="Times New Roman" w:hAnsi="Times New Roman"/>
          <w:sz w:val="24"/>
          <w:szCs w:val="24"/>
        </w:rPr>
        <w:t>;</w:t>
      </w:r>
      <w:r w:rsidR="00B9446B" w:rsidRPr="00B9446B">
        <w:t xml:space="preserve"> </w:t>
      </w:r>
      <w:proofErr w:type="spellStart"/>
      <w:r w:rsidR="00B9446B" w:rsidRPr="00B9446B">
        <w:rPr>
          <w:rFonts w:ascii="Times New Roman" w:hAnsi="Times New Roman"/>
          <w:sz w:val="24"/>
          <w:szCs w:val="24"/>
        </w:rPr>
        <w:t>Bigenzahn</w:t>
      </w:r>
      <w:proofErr w:type="spellEnd"/>
      <w:r w:rsidR="00B9446B" w:rsidRPr="00B9446B">
        <w:rPr>
          <w:rFonts w:ascii="Times New Roman" w:hAnsi="Times New Roman"/>
          <w:sz w:val="24"/>
          <w:szCs w:val="24"/>
        </w:rPr>
        <w:t xml:space="preserve"> &amp; </w:t>
      </w:r>
      <w:proofErr w:type="spellStart"/>
      <w:r w:rsidR="00B9446B" w:rsidRPr="00B9446B">
        <w:rPr>
          <w:rFonts w:ascii="Times New Roman" w:hAnsi="Times New Roman"/>
          <w:sz w:val="24"/>
          <w:szCs w:val="24"/>
        </w:rPr>
        <w:t>Denk</w:t>
      </w:r>
      <w:proofErr w:type="spellEnd"/>
      <w:r w:rsidR="00B9446B" w:rsidRPr="00B9446B">
        <w:rPr>
          <w:rFonts w:ascii="Times New Roman" w:hAnsi="Times New Roman"/>
          <w:sz w:val="24"/>
          <w:szCs w:val="24"/>
        </w:rPr>
        <w:t xml:space="preserve">, 2013 </w:t>
      </w:r>
      <w:r>
        <w:rPr>
          <w:rFonts w:ascii="Times New Roman" w:hAnsi="Times New Roman"/>
          <w:sz w:val="24"/>
          <w:szCs w:val="24"/>
        </w:rPr>
        <w:t xml:space="preserve">). </w:t>
      </w:r>
    </w:p>
    <w:p w14:paraId="36BE9C82" w14:textId="77777777" w:rsidR="00146CE2" w:rsidRDefault="007B1970">
      <w:pPr>
        <w:pStyle w:val="a5"/>
        <w:numPr>
          <w:ilvl w:val="0"/>
          <w:numId w:val="5"/>
        </w:numPr>
        <w:spacing w:after="120" w:line="360" w:lineRule="auto"/>
        <w:ind w:left="714"/>
        <w:jc w:val="both"/>
        <w:rPr>
          <w:rFonts w:ascii="Times New Roman" w:hAnsi="Times New Roman"/>
          <w:sz w:val="24"/>
        </w:rPr>
      </w:pPr>
      <w:r>
        <w:rPr>
          <w:rFonts w:ascii="Times New Roman" w:hAnsi="Times New Roman"/>
          <w:i/>
          <w:sz w:val="24"/>
          <w:szCs w:val="24"/>
        </w:rPr>
        <w:t>Μαγνητική τομογραφία</w:t>
      </w:r>
      <w:r w:rsidR="00DB0AA3">
        <w:rPr>
          <w:rFonts w:ascii="Times New Roman" w:hAnsi="Times New Roman"/>
          <w:i/>
          <w:sz w:val="24"/>
          <w:szCs w:val="24"/>
        </w:rPr>
        <w:t>:</w:t>
      </w:r>
      <w:r w:rsidR="00DB0AA3">
        <w:rPr>
          <w:rFonts w:ascii="Times New Roman" w:hAnsi="Times New Roman"/>
          <w:sz w:val="24"/>
          <w:szCs w:val="24"/>
        </w:rPr>
        <w:t xml:space="preserve"> Με την χρήση μαγνητικής τομογραφίας επιτρέπεται η αξιολόγηση του μηχανισμού κατάποσης εν κινήσει και συγκεκριμένα, η </w:t>
      </w:r>
      <w:proofErr w:type="spellStart"/>
      <w:r w:rsidR="00DB0AA3">
        <w:rPr>
          <w:rFonts w:ascii="Times New Roman" w:hAnsi="Times New Roman"/>
          <w:sz w:val="24"/>
          <w:szCs w:val="24"/>
        </w:rPr>
        <w:t>στοματοφαρυγγική</w:t>
      </w:r>
      <w:proofErr w:type="spellEnd"/>
      <w:r w:rsidR="00DB0AA3">
        <w:rPr>
          <w:rFonts w:ascii="Times New Roman" w:hAnsi="Times New Roman"/>
          <w:sz w:val="24"/>
          <w:szCs w:val="24"/>
        </w:rPr>
        <w:t xml:space="preserve"> κοιλότητα, ο λαρυγγικός αυλός και το μυϊκό σύστημα. Πλεονέκτημά της είναι ότι ο ασθενής δεν εκτίθεται σε ακτινοβολία. Ωστόσο, η ύπτια θέση του κατά την εξέταση ίσως δεν είναι αντιπροσωπευτική για την κατάποση. Στη </w:t>
      </w:r>
      <w:r w:rsidR="00DB0AA3">
        <w:rPr>
          <w:rFonts w:ascii="Times New Roman" w:hAnsi="Times New Roman"/>
          <w:i/>
          <w:sz w:val="24"/>
          <w:szCs w:val="24"/>
        </w:rPr>
        <w:t>λειτουργική μαγνητική τομογραφία (</w:t>
      </w:r>
      <w:r w:rsidR="00DB0AA3">
        <w:rPr>
          <w:rFonts w:ascii="Times New Roman" w:hAnsi="Times New Roman"/>
          <w:i/>
          <w:sz w:val="24"/>
          <w:szCs w:val="24"/>
          <w:lang w:val="en-US"/>
        </w:rPr>
        <w:t>fMRI</w:t>
      </w:r>
      <w:r w:rsidR="00DB0AA3">
        <w:rPr>
          <w:rFonts w:ascii="Times New Roman" w:hAnsi="Times New Roman"/>
          <w:i/>
          <w:sz w:val="24"/>
          <w:szCs w:val="24"/>
        </w:rPr>
        <w:t>)</w:t>
      </w:r>
      <w:r w:rsidR="00DB0AA3">
        <w:rPr>
          <w:rFonts w:ascii="Times New Roman" w:hAnsi="Times New Roman"/>
          <w:sz w:val="24"/>
          <w:szCs w:val="24"/>
        </w:rPr>
        <w:t xml:space="preserve"> ανιχνεύεται η κίνηση κατά τη διάρκεια της εξέτασης, ενώ παράλληλα οι νευρικοί μηχανισμοί των πράξεων που προκαλούνται από την κίνηση, όπως η ομιλία και η κατάποση </w:t>
      </w:r>
      <w:r w:rsidR="00B72804">
        <w:rPr>
          <w:rFonts w:ascii="Times New Roman" w:hAnsi="Times New Roman"/>
          <w:sz w:val="24"/>
          <w:szCs w:val="24"/>
        </w:rPr>
        <w:t>(</w:t>
      </w:r>
      <w:r w:rsidR="00DB0AA3">
        <w:rPr>
          <w:rFonts w:ascii="Times New Roman" w:hAnsi="Times New Roman"/>
          <w:sz w:val="24"/>
          <w:lang w:val="en-US"/>
        </w:rPr>
        <w:t>Murry</w:t>
      </w:r>
      <w:r w:rsidR="00DB0AA3">
        <w:rPr>
          <w:rFonts w:ascii="Times New Roman" w:hAnsi="Times New Roman"/>
          <w:sz w:val="24"/>
        </w:rPr>
        <w:t xml:space="preserve"> &amp; </w:t>
      </w:r>
      <w:proofErr w:type="spellStart"/>
      <w:r w:rsidR="00DB0AA3">
        <w:rPr>
          <w:rFonts w:ascii="Times New Roman" w:hAnsi="Times New Roman"/>
          <w:sz w:val="24"/>
          <w:lang w:val="en-US"/>
        </w:rPr>
        <w:t>Carrau</w:t>
      </w:r>
      <w:proofErr w:type="spellEnd"/>
      <w:r w:rsidR="00B72804">
        <w:rPr>
          <w:rFonts w:ascii="Times New Roman" w:hAnsi="Times New Roman"/>
          <w:sz w:val="24"/>
        </w:rPr>
        <w:t xml:space="preserve">, </w:t>
      </w:r>
      <w:r w:rsidR="00DB0AA3">
        <w:rPr>
          <w:rFonts w:ascii="Times New Roman" w:hAnsi="Times New Roman"/>
          <w:sz w:val="24"/>
        </w:rPr>
        <w:t>2014).</w:t>
      </w:r>
    </w:p>
    <w:p w14:paraId="4986EA4A" w14:textId="77777777" w:rsidR="00146CE2" w:rsidRDefault="007B1970">
      <w:pPr>
        <w:pStyle w:val="a5"/>
        <w:numPr>
          <w:ilvl w:val="0"/>
          <w:numId w:val="5"/>
        </w:numPr>
        <w:spacing w:after="120" w:line="360" w:lineRule="auto"/>
        <w:jc w:val="both"/>
        <w:rPr>
          <w:rFonts w:ascii="Times New Roman" w:hAnsi="Times New Roman"/>
          <w:sz w:val="24"/>
        </w:rPr>
      </w:pPr>
      <w:r>
        <w:rPr>
          <w:rFonts w:ascii="Times New Roman" w:hAnsi="Times New Roman"/>
          <w:i/>
          <w:sz w:val="24"/>
          <w:szCs w:val="24"/>
        </w:rPr>
        <w:t>Αξονική τομογραφία</w:t>
      </w:r>
      <w:r w:rsidR="00DB0AA3">
        <w:rPr>
          <w:rFonts w:ascii="Times New Roman" w:hAnsi="Times New Roman"/>
          <w:i/>
          <w:sz w:val="24"/>
          <w:szCs w:val="24"/>
        </w:rPr>
        <w:t xml:space="preserve">: </w:t>
      </w:r>
      <w:r w:rsidR="00DB0AA3">
        <w:rPr>
          <w:rFonts w:ascii="Times New Roman" w:hAnsi="Times New Roman"/>
          <w:sz w:val="24"/>
          <w:szCs w:val="24"/>
        </w:rPr>
        <w:t>Η αξονική τομογραφία</w:t>
      </w:r>
      <w:r w:rsidR="00DB0AA3">
        <w:rPr>
          <w:rFonts w:ascii="Times New Roman" w:hAnsi="Times New Roman"/>
          <w:i/>
          <w:sz w:val="24"/>
          <w:szCs w:val="24"/>
        </w:rPr>
        <w:t xml:space="preserve"> </w:t>
      </w:r>
      <w:r w:rsidR="00DB0AA3">
        <w:rPr>
          <w:rFonts w:ascii="Times New Roman" w:hAnsi="Times New Roman"/>
          <w:sz w:val="24"/>
          <w:szCs w:val="24"/>
        </w:rPr>
        <w:t xml:space="preserve">απεικονίζει την ανατομία μιας συγκεκριμένης περιοχής της κεφαλής, του τραχήλου ή άλλων στοιχείων της άνω </w:t>
      </w:r>
      <w:proofErr w:type="spellStart"/>
      <w:r w:rsidR="00DB0AA3">
        <w:rPr>
          <w:rFonts w:ascii="Times New Roman" w:hAnsi="Times New Roman"/>
          <w:sz w:val="24"/>
          <w:szCs w:val="24"/>
        </w:rPr>
        <w:t>αεροπεπτικής</w:t>
      </w:r>
      <w:proofErr w:type="spellEnd"/>
      <w:r w:rsidR="00DB0AA3">
        <w:rPr>
          <w:rFonts w:ascii="Times New Roman" w:hAnsi="Times New Roman"/>
          <w:sz w:val="24"/>
          <w:szCs w:val="24"/>
        </w:rPr>
        <w:t xml:space="preserve"> οδού. Συνήθως χρησιμοποιείται για εξακρίβωση βλάβης εξαιτίας αγγειακού εγκεφαλικού επεισοδίου, απεικονίζοντας την ευθυγράμμιση, την έκταση  και το μέγεθος της </w:t>
      </w:r>
      <w:r w:rsidR="00B72804">
        <w:rPr>
          <w:rFonts w:ascii="Times New Roman" w:hAnsi="Times New Roman"/>
          <w:sz w:val="24"/>
          <w:szCs w:val="24"/>
        </w:rPr>
        <w:t>(</w:t>
      </w:r>
      <w:r w:rsidR="00DB0AA3">
        <w:rPr>
          <w:rFonts w:ascii="Times New Roman" w:hAnsi="Times New Roman"/>
          <w:sz w:val="24"/>
          <w:lang w:val="en-US"/>
        </w:rPr>
        <w:t>Murry</w:t>
      </w:r>
      <w:r w:rsidR="00DB0AA3">
        <w:rPr>
          <w:rFonts w:ascii="Times New Roman" w:hAnsi="Times New Roman"/>
          <w:sz w:val="24"/>
        </w:rPr>
        <w:t xml:space="preserve"> &amp; </w:t>
      </w:r>
      <w:proofErr w:type="spellStart"/>
      <w:r w:rsidR="00DB0AA3">
        <w:rPr>
          <w:rFonts w:ascii="Times New Roman" w:hAnsi="Times New Roman"/>
          <w:sz w:val="24"/>
          <w:lang w:val="en-US"/>
        </w:rPr>
        <w:t>Carrau</w:t>
      </w:r>
      <w:proofErr w:type="spellEnd"/>
      <w:r w:rsidR="00B72804">
        <w:rPr>
          <w:rFonts w:ascii="Times New Roman" w:hAnsi="Times New Roman"/>
          <w:sz w:val="24"/>
        </w:rPr>
        <w:t xml:space="preserve">, </w:t>
      </w:r>
      <w:r w:rsidR="00DB0AA3">
        <w:rPr>
          <w:rFonts w:ascii="Times New Roman" w:hAnsi="Times New Roman"/>
          <w:sz w:val="24"/>
        </w:rPr>
        <w:t>2014).</w:t>
      </w:r>
    </w:p>
    <w:p w14:paraId="57D6E229" w14:textId="77777777" w:rsidR="00146CE2" w:rsidRDefault="00DB0AA3">
      <w:pPr>
        <w:pStyle w:val="a5"/>
        <w:numPr>
          <w:ilvl w:val="0"/>
          <w:numId w:val="5"/>
        </w:numPr>
        <w:spacing w:after="120" w:line="360" w:lineRule="auto"/>
        <w:jc w:val="both"/>
        <w:rPr>
          <w:rFonts w:ascii="Times New Roman" w:hAnsi="Times New Roman"/>
          <w:sz w:val="24"/>
        </w:rPr>
      </w:pPr>
      <w:r>
        <w:rPr>
          <w:rFonts w:ascii="Times New Roman" w:hAnsi="Times New Roman"/>
          <w:i/>
          <w:sz w:val="24"/>
          <w:szCs w:val="24"/>
        </w:rPr>
        <w:lastRenderedPageBreak/>
        <w:t>Τομογραφία ε</w:t>
      </w:r>
      <w:r w:rsidR="007B1970">
        <w:rPr>
          <w:rFonts w:ascii="Times New Roman" w:hAnsi="Times New Roman"/>
          <w:i/>
          <w:sz w:val="24"/>
          <w:szCs w:val="24"/>
        </w:rPr>
        <w:t>κπομπής ποζιτρονίων</w:t>
      </w:r>
      <w:r>
        <w:rPr>
          <w:rFonts w:ascii="Times New Roman" w:hAnsi="Times New Roman"/>
          <w:sz w:val="24"/>
          <w:szCs w:val="24"/>
        </w:rPr>
        <w:t>:</w:t>
      </w:r>
      <w:r w:rsidR="007B1970">
        <w:rPr>
          <w:rFonts w:ascii="Times New Roman" w:hAnsi="Times New Roman"/>
          <w:sz w:val="24"/>
          <w:szCs w:val="24"/>
        </w:rPr>
        <w:t xml:space="preserve"> </w:t>
      </w:r>
      <w:r>
        <w:rPr>
          <w:rFonts w:ascii="Times New Roman" w:hAnsi="Times New Roman"/>
          <w:sz w:val="24"/>
          <w:szCs w:val="24"/>
        </w:rPr>
        <w:t>Η Παπαδοπούλου (2014) χαρακτηριστικά αναφέρει «πρόκειται για μία πυρηνική ιατρική απεικονιστική τεχνική, η οποία παράγει μία τρισδιάστατη εικόνα των λειτουργικών διεργασιών της κατάποσης». Η τεχνική εξετάζει τις νευρικές δραστηριότητες σχετικά με συγκεκριμένες κινήσεις χωρίς να είναι επεμβατική, εκθέτει όμως το άτομο σε ακτινοβολία (</w:t>
      </w:r>
      <w:r>
        <w:rPr>
          <w:rFonts w:ascii="Times New Roman" w:hAnsi="Times New Roman"/>
          <w:sz w:val="24"/>
          <w:lang w:val="en-US"/>
        </w:rPr>
        <w:t>Murry</w:t>
      </w:r>
      <w:r>
        <w:rPr>
          <w:rFonts w:ascii="Times New Roman" w:hAnsi="Times New Roman"/>
          <w:sz w:val="24"/>
        </w:rPr>
        <w:t xml:space="preserve"> &amp; </w:t>
      </w:r>
      <w:proofErr w:type="spellStart"/>
      <w:r>
        <w:rPr>
          <w:rFonts w:ascii="Times New Roman" w:hAnsi="Times New Roman"/>
          <w:sz w:val="24"/>
          <w:lang w:val="en-US"/>
        </w:rPr>
        <w:t>Carrau</w:t>
      </w:r>
      <w:proofErr w:type="spellEnd"/>
      <w:r>
        <w:rPr>
          <w:rFonts w:ascii="Times New Roman" w:hAnsi="Times New Roman"/>
          <w:sz w:val="24"/>
        </w:rPr>
        <w:t>, 2014).</w:t>
      </w:r>
    </w:p>
    <w:p w14:paraId="69AF3175" w14:textId="77777777" w:rsidR="005D0950" w:rsidRDefault="005D0950" w:rsidP="005D0950">
      <w:pPr>
        <w:pStyle w:val="a5"/>
        <w:spacing w:after="120" w:line="360" w:lineRule="auto"/>
        <w:jc w:val="both"/>
        <w:rPr>
          <w:rFonts w:ascii="Times New Roman" w:hAnsi="Times New Roman"/>
          <w:sz w:val="24"/>
        </w:rPr>
      </w:pPr>
    </w:p>
    <w:p w14:paraId="01094B4C" w14:textId="77777777" w:rsidR="00146CE2" w:rsidRPr="00456D14" w:rsidRDefault="00DB0AA3" w:rsidP="00456D14">
      <w:pPr>
        <w:pStyle w:val="2"/>
        <w:spacing w:before="0" w:line="360" w:lineRule="auto"/>
        <w:rPr>
          <w:b/>
        </w:rPr>
      </w:pPr>
      <w:bookmarkStart w:id="35" w:name="_Toc493323976"/>
      <w:r w:rsidRPr="00456D14">
        <w:rPr>
          <w:b/>
        </w:rPr>
        <w:t>1.5.2.2 Μη Απεικονιστικές μέθοδοι</w:t>
      </w:r>
      <w:bookmarkEnd w:id="35"/>
      <w:r w:rsidRPr="00456D14">
        <w:rPr>
          <w:b/>
        </w:rPr>
        <w:t xml:space="preserve"> </w:t>
      </w:r>
    </w:p>
    <w:p w14:paraId="5C9A4467" w14:textId="77777777" w:rsidR="00146CE2" w:rsidRPr="00BF0161" w:rsidRDefault="00DB0AA3" w:rsidP="00951ED4">
      <w:pPr>
        <w:spacing w:after="120" w:line="360" w:lineRule="auto"/>
        <w:jc w:val="both"/>
        <w:rPr>
          <w:lang w:val="el-GR"/>
        </w:rPr>
      </w:pPr>
      <w:r w:rsidRPr="00BF0161">
        <w:rPr>
          <w:lang w:val="el-GR"/>
        </w:rPr>
        <w:t>Οι μη απεικονιστικές μέθοδοι αξιολόγησης της κατάποσης προσφέρουν ποικίλες πληροφορίες στον κλινικό, αλλά  αδυνατούν να αναπαράγουν τη διαδικασία της κατάποσης.  Ωστόσο,  οι περισσότερες παρέχουν στοιχεία σχετικά με τη συχνότητα και το εύρος των παραμέτρων της κατάποσης σε ένα συγκεκριμένο χρονικό διάστημα (Μεσσήνης &amp; Αντωνιάδης, 2010).</w:t>
      </w:r>
    </w:p>
    <w:p w14:paraId="253EFA30" w14:textId="77777777" w:rsidR="00146CE2" w:rsidRDefault="00DB0AA3" w:rsidP="00951ED4">
      <w:pPr>
        <w:pStyle w:val="a5"/>
        <w:numPr>
          <w:ilvl w:val="0"/>
          <w:numId w:val="6"/>
        </w:numPr>
        <w:spacing w:after="120" w:line="360" w:lineRule="auto"/>
        <w:jc w:val="both"/>
        <w:rPr>
          <w:rFonts w:ascii="Times New Roman" w:hAnsi="Times New Roman"/>
          <w:sz w:val="24"/>
          <w:szCs w:val="24"/>
        </w:rPr>
      </w:pPr>
      <w:proofErr w:type="spellStart"/>
      <w:r>
        <w:rPr>
          <w:rFonts w:ascii="Times New Roman" w:hAnsi="Times New Roman"/>
          <w:i/>
          <w:sz w:val="24"/>
          <w:szCs w:val="24"/>
        </w:rPr>
        <w:t>Ηλεκτρομυογραφία</w:t>
      </w:r>
      <w:proofErr w:type="spellEnd"/>
      <w:r>
        <w:rPr>
          <w:rFonts w:ascii="Times New Roman" w:hAnsi="Times New Roman"/>
          <w:i/>
          <w:sz w:val="24"/>
          <w:szCs w:val="24"/>
        </w:rPr>
        <w:t>:</w:t>
      </w:r>
      <w:r>
        <w:rPr>
          <w:rFonts w:ascii="Times New Roman" w:hAnsi="Times New Roman"/>
          <w:sz w:val="24"/>
          <w:szCs w:val="24"/>
        </w:rPr>
        <w:t xml:space="preserve"> Η χρήση του ηλεκτρομυογραφήματος συνίσταται για την εξέταση των μυών που διαδραματίζουν σημαντικό ρόλο στην διαδικασία κατάποσης, δίνοντας πληροφορίες για το εύρος της κίνησης και την ταχύτητά της</w:t>
      </w:r>
      <w:r w:rsidR="00763A97" w:rsidRPr="00763A97">
        <w:rPr>
          <w:rFonts w:ascii="Times New Roman" w:hAnsi="Times New Roman"/>
          <w:sz w:val="24"/>
          <w:szCs w:val="24"/>
        </w:rPr>
        <w:t xml:space="preserve"> (Μεσσήνης &amp; Αντωνιάδης, 2010; </w:t>
      </w:r>
      <w:proofErr w:type="spellStart"/>
      <w:r w:rsidR="00763A97">
        <w:rPr>
          <w:rFonts w:ascii="Times New Roman" w:hAnsi="Times New Roman"/>
          <w:sz w:val="24"/>
          <w:szCs w:val="24"/>
        </w:rPr>
        <w:lastRenderedPageBreak/>
        <w:t>Καμπανάρου</w:t>
      </w:r>
      <w:proofErr w:type="spellEnd"/>
      <w:r w:rsidR="00763A97">
        <w:rPr>
          <w:rFonts w:ascii="Times New Roman" w:hAnsi="Times New Roman"/>
          <w:sz w:val="24"/>
          <w:szCs w:val="24"/>
        </w:rPr>
        <w:t>, 2007)</w:t>
      </w:r>
      <w:r>
        <w:rPr>
          <w:rFonts w:ascii="Times New Roman" w:hAnsi="Times New Roman"/>
          <w:sz w:val="24"/>
          <w:szCs w:val="24"/>
        </w:rPr>
        <w:t xml:space="preserve">. Επιπλέον, καταγράφει τη χρονική στιγμή πυροδότησης της κατάποσης και τη δραστηριότητα των φαρυγγικών τοιχωμάτων </w:t>
      </w:r>
      <w:bookmarkStart w:id="36" w:name="_Hlk492292993"/>
      <w:r>
        <w:rPr>
          <w:rFonts w:ascii="Times New Roman" w:hAnsi="Times New Roman"/>
          <w:sz w:val="24"/>
        </w:rPr>
        <w:t>(Μεσσήνης &amp; Αντωνιάδης, 2010</w:t>
      </w:r>
      <w:bookmarkEnd w:id="36"/>
      <w:r>
        <w:rPr>
          <w:rFonts w:ascii="Times New Roman" w:hAnsi="Times New Roman"/>
          <w:sz w:val="24"/>
        </w:rPr>
        <w:t>).</w:t>
      </w:r>
      <w:r>
        <w:rPr>
          <w:rFonts w:ascii="Times New Roman" w:hAnsi="Times New Roman"/>
          <w:sz w:val="24"/>
          <w:szCs w:val="24"/>
        </w:rPr>
        <w:t xml:space="preserve"> Βοηθάει επίσης, στον εντοπισμό ελλειμμάτων σε συγκεκριμένα νεύρα ή </w:t>
      </w:r>
      <w:proofErr w:type="spellStart"/>
      <w:r>
        <w:rPr>
          <w:rFonts w:ascii="Times New Roman" w:hAnsi="Times New Roman"/>
          <w:sz w:val="24"/>
          <w:szCs w:val="24"/>
        </w:rPr>
        <w:t>νευρομυϊκές</w:t>
      </w:r>
      <w:proofErr w:type="spellEnd"/>
      <w:r>
        <w:rPr>
          <w:rFonts w:ascii="Times New Roman" w:hAnsi="Times New Roman"/>
          <w:sz w:val="24"/>
          <w:szCs w:val="24"/>
        </w:rPr>
        <w:t xml:space="preserve"> μονάδες και στην ανίχνευση κάποιας συστημικής μυοπάθειας ή εκφυλιστικής </w:t>
      </w:r>
      <w:proofErr w:type="spellStart"/>
      <w:r>
        <w:rPr>
          <w:rFonts w:ascii="Times New Roman" w:hAnsi="Times New Roman"/>
          <w:sz w:val="24"/>
          <w:szCs w:val="24"/>
        </w:rPr>
        <w:t>νευρομυϊκής</w:t>
      </w:r>
      <w:proofErr w:type="spellEnd"/>
      <w:r>
        <w:rPr>
          <w:rFonts w:ascii="Times New Roman" w:hAnsi="Times New Roman"/>
          <w:sz w:val="24"/>
          <w:szCs w:val="24"/>
        </w:rPr>
        <w:t xml:space="preserve"> νόσου (</w:t>
      </w:r>
      <w:r>
        <w:rPr>
          <w:rFonts w:ascii="Times New Roman" w:hAnsi="Times New Roman"/>
          <w:sz w:val="24"/>
          <w:lang w:val="en-US"/>
        </w:rPr>
        <w:t>Murry</w:t>
      </w:r>
      <w:r>
        <w:rPr>
          <w:rFonts w:ascii="Times New Roman" w:hAnsi="Times New Roman"/>
          <w:sz w:val="24"/>
        </w:rPr>
        <w:t xml:space="preserve"> &amp; </w:t>
      </w:r>
      <w:proofErr w:type="spellStart"/>
      <w:r>
        <w:rPr>
          <w:rFonts w:ascii="Times New Roman" w:hAnsi="Times New Roman"/>
          <w:sz w:val="24"/>
          <w:lang w:val="en-US"/>
        </w:rPr>
        <w:t>Carrau</w:t>
      </w:r>
      <w:proofErr w:type="spellEnd"/>
      <w:r>
        <w:rPr>
          <w:rFonts w:ascii="Times New Roman" w:hAnsi="Times New Roman"/>
          <w:sz w:val="24"/>
        </w:rPr>
        <w:t>, 2014)</w:t>
      </w:r>
      <w:r>
        <w:rPr>
          <w:rFonts w:ascii="Times New Roman" w:hAnsi="Times New Roman"/>
          <w:sz w:val="24"/>
          <w:szCs w:val="24"/>
        </w:rPr>
        <w:t>.</w:t>
      </w:r>
    </w:p>
    <w:p w14:paraId="7C10CF69" w14:textId="77777777" w:rsidR="00146CE2" w:rsidRDefault="00DB0AA3" w:rsidP="00951ED4">
      <w:pPr>
        <w:pStyle w:val="a5"/>
        <w:numPr>
          <w:ilvl w:val="0"/>
          <w:numId w:val="6"/>
        </w:numPr>
        <w:spacing w:after="120" w:line="360" w:lineRule="auto"/>
        <w:jc w:val="both"/>
        <w:rPr>
          <w:rFonts w:ascii="Times New Roman" w:hAnsi="Times New Roman"/>
          <w:sz w:val="24"/>
          <w:szCs w:val="24"/>
        </w:rPr>
      </w:pPr>
      <w:proofErr w:type="spellStart"/>
      <w:r>
        <w:rPr>
          <w:rFonts w:ascii="Times New Roman" w:hAnsi="Times New Roman"/>
          <w:i/>
          <w:sz w:val="24"/>
          <w:szCs w:val="24"/>
        </w:rPr>
        <w:t>Μανομετρία</w:t>
      </w:r>
      <w:proofErr w:type="spellEnd"/>
      <w:r>
        <w:rPr>
          <w:rFonts w:ascii="Times New Roman" w:hAnsi="Times New Roman"/>
          <w:i/>
          <w:sz w:val="24"/>
          <w:szCs w:val="24"/>
        </w:rPr>
        <w:t>:</w:t>
      </w:r>
      <w:r>
        <w:rPr>
          <w:rFonts w:ascii="Times New Roman" w:hAnsi="Times New Roman"/>
          <w:sz w:val="24"/>
          <w:szCs w:val="24"/>
        </w:rPr>
        <w:t xml:space="preserve"> Η </w:t>
      </w:r>
      <w:proofErr w:type="spellStart"/>
      <w:r>
        <w:rPr>
          <w:rFonts w:ascii="Times New Roman" w:hAnsi="Times New Roman"/>
          <w:sz w:val="24"/>
          <w:szCs w:val="24"/>
        </w:rPr>
        <w:t>μανομετρία</w:t>
      </w:r>
      <w:proofErr w:type="spellEnd"/>
      <w:r>
        <w:rPr>
          <w:rFonts w:ascii="Times New Roman" w:hAnsi="Times New Roman"/>
          <w:sz w:val="24"/>
          <w:szCs w:val="24"/>
        </w:rPr>
        <w:t xml:space="preserve"> συμβάλλει στην εκτίμηση των περισταλτικών κινήσεων του φάρυγγα, τον τόνο ηρεμίας, τη σύσπαση και τη χαλάρωση του </w:t>
      </w:r>
      <w:proofErr w:type="spellStart"/>
      <w:r>
        <w:rPr>
          <w:rFonts w:ascii="Times New Roman" w:hAnsi="Times New Roman"/>
          <w:sz w:val="24"/>
          <w:szCs w:val="24"/>
        </w:rPr>
        <w:t>φαρυγγοοισοφαγικού</w:t>
      </w:r>
      <w:proofErr w:type="spellEnd"/>
      <w:r>
        <w:rPr>
          <w:rFonts w:ascii="Times New Roman" w:hAnsi="Times New Roman"/>
          <w:sz w:val="24"/>
          <w:szCs w:val="24"/>
        </w:rPr>
        <w:t xml:space="preserve"> σφικτήρα. Από τα παραπάνω προκύπτει ότι είναι εφικτή η διάγνωση διαταραχών όσον αφορά την κινητικότητα του οισοφάγου και δυσκινησίες του </w:t>
      </w:r>
      <w:proofErr w:type="spellStart"/>
      <w:r>
        <w:rPr>
          <w:rFonts w:ascii="Times New Roman" w:hAnsi="Times New Roman"/>
          <w:sz w:val="24"/>
          <w:szCs w:val="24"/>
        </w:rPr>
        <w:t>φαρυγγοοισοφαγικού</w:t>
      </w:r>
      <w:proofErr w:type="spellEnd"/>
      <w:r>
        <w:rPr>
          <w:rFonts w:ascii="Times New Roman" w:hAnsi="Times New Roman"/>
          <w:sz w:val="24"/>
          <w:szCs w:val="24"/>
        </w:rPr>
        <w:t xml:space="preserve"> σφι</w:t>
      </w:r>
      <w:r w:rsidR="00F90BF7">
        <w:rPr>
          <w:rFonts w:ascii="Times New Roman" w:hAnsi="Times New Roman"/>
          <w:sz w:val="24"/>
          <w:szCs w:val="24"/>
        </w:rPr>
        <w:t>γ</w:t>
      </w:r>
      <w:r>
        <w:rPr>
          <w:rFonts w:ascii="Times New Roman" w:hAnsi="Times New Roman"/>
          <w:sz w:val="24"/>
          <w:szCs w:val="24"/>
        </w:rPr>
        <w:t xml:space="preserve">κτήρα </w:t>
      </w:r>
      <w:bookmarkStart w:id="37" w:name="_Hlk492292832"/>
      <w:r>
        <w:rPr>
          <w:rFonts w:ascii="Times New Roman" w:hAnsi="Times New Roman"/>
          <w:sz w:val="24"/>
          <w:szCs w:val="24"/>
        </w:rPr>
        <w:t>(</w:t>
      </w:r>
      <w:proofErr w:type="spellStart"/>
      <w:r>
        <w:rPr>
          <w:rFonts w:ascii="Times New Roman" w:hAnsi="Times New Roman"/>
          <w:sz w:val="24"/>
          <w:szCs w:val="24"/>
          <w:lang w:val="en-US"/>
        </w:rPr>
        <w:t>Bigenzahn</w:t>
      </w:r>
      <w:proofErr w:type="spellEnd"/>
      <w:r>
        <w:rPr>
          <w:rFonts w:ascii="Times New Roman" w:hAnsi="Times New Roman"/>
          <w:sz w:val="24"/>
          <w:szCs w:val="24"/>
        </w:rPr>
        <w:t xml:space="preserve"> &amp; </w:t>
      </w:r>
      <w:proofErr w:type="spellStart"/>
      <w:r>
        <w:rPr>
          <w:rFonts w:ascii="Times New Roman" w:hAnsi="Times New Roman"/>
          <w:sz w:val="24"/>
          <w:szCs w:val="24"/>
          <w:lang w:val="en-US"/>
        </w:rPr>
        <w:t>Denk</w:t>
      </w:r>
      <w:proofErr w:type="spellEnd"/>
      <w:r>
        <w:rPr>
          <w:rFonts w:ascii="Times New Roman" w:hAnsi="Times New Roman"/>
          <w:sz w:val="24"/>
          <w:szCs w:val="24"/>
        </w:rPr>
        <w:t>, 2013</w:t>
      </w:r>
      <w:bookmarkEnd w:id="37"/>
      <w:r>
        <w:rPr>
          <w:rFonts w:ascii="Times New Roman" w:hAnsi="Times New Roman"/>
          <w:sz w:val="24"/>
          <w:szCs w:val="24"/>
        </w:rPr>
        <w:t>). Επιπρόσθετα, χρησιμοποιείται στην αξιολόγηση των διαταραχών κινητικότητας του οισοφάγου (</w:t>
      </w:r>
      <w:r>
        <w:rPr>
          <w:rFonts w:ascii="Times New Roman" w:hAnsi="Times New Roman"/>
          <w:sz w:val="24"/>
          <w:lang w:val="en-US"/>
        </w:rPr>
        <w:t>Murry</w:t>
      </w:r>
      <w:r>
        <w:rPr>
          <w:rFonts w:ascii="Times New Roman" w:hAnsi="Times New Roman"/>
          <w:sz w:val="24"/>
        </w:rPr>
        <w:t xml:space="preserve"> &amp; </w:t>
      </w:r>
      <w:proofErr w:type="spellStart"/>
      <w:r>
        <w:rPr>
          <w:rFonts w:ascii="Times New Roman" w:hAnsi="Times New Roman"/>
          <w:sz w:val="24"/>
          <w:lang w:val="en-US"/>
        </w:rPr>
        <w:t>Carrau</w:t>
      </w:r>
      <w:proofErr w:type="spellEnd"/>
      <w:r>
        <w:rPr>
          <w:rFonts w:ascii="Times New Roman" w:hAnsi="Times New Roman"/>
          <w:sz w:val="24"/>
        </w:rPr>
        <w:t>, 2014)</w:t>
      </w:r>
      <w:r>
        <w:rPr>
          <w:rFonts w:ascii="Times New Roman" w:hAnsi="Times New Roman"/>
          <w:sz w:val="24"/>
          <w:szCs w:val="24"/>
        </w:rPr>
        <w:t>.</w:t>
      </w:r>
    </w:p>
    <w:p w14:paraId="2BF1F664" w14:textId="77777777" w:rsidR="00146CE2" w:rsidRDefault="00DB0AA3" w:rsidP="00951ED4">
      <w:pPr>
        <w:pStyle w:val="a5"/>
        <w:numPr>
          <w:ilvl w:val="0"/>
          <w:numId w:val="6"/>
        </w:numPr>
        <w:spacing w:after="120" w:line="360" w:lineRule="auto"/>
        <w:jc w:val="both"/>
        <w:rPr>
          <w:rFonts w:ascii="Times New Roman" w:hAnsi="Times New Roman"/>
          <w:sz w:val="24"/>
          <w:szCs w:val="24"/>
        </w:rPr>
      </w:pPr>
      <w:r>
        <w:rPr>
          <w:rFonts w:ascii="Times New Roman" w:hAnsi="Times New Roman"/>
          <w:i/>
          <w:sz w:val="24"/>
          <w:szCs w:val="24"/>
          <w:lang w:val="en-US"/>
        </w:rPr>
        <w:t>pH</w:t>
      </w:r>
      <w:r>
        <w:rPr>
          <w:rFonts w:ascii="Times New Roman" w:hAnsi="Times New Roman"/>
          <w:i/>
          <w:sz w:val="24"/>
          <w:szCs w:val="24"/>
        </w:rPr>
        <w:t xml:space="preserve"> –</w:t>
      </w:r>
      <w:proofErr w:type="spellStart"/>
      <w:r>
        <w:rPr>
          <w:rFonts w:ascii="Times New Roman" w:hAnsi="Times New Roman"/>
          <w:i/>
          <w:sz w:val="24"/>
          <w:szCs w:val="24"/>
        </w:rPr>
        <w:t>μετρία</w:t>
      </w:r>
      <w:proofErr w:type="spellEnd"/>
      <w:r>
        <w:rPr>
          <w:rFonts w:ascii="Times New Roman" w:hAnsi="Times New Roman"/>
          <w:i/>
          <w:sz w:val="24"/>
          <w:szCs w:val="24"/>
        </w:rPr>
        <w:t xml:space="preserve">: </w:t>
      </w:r>
      <w:r>
        <w:rPr>
          <w:rFonts w:ascii="Times New Roman" w:hAnsi="Times New Roman"/>
          <w:sz w:val="24"/>
          <w:szCs w:val="24"/>
        </w:rPr>
        <w:t xml:space="preserve">Η </w:t>
      </w:r>
      <w:r>
        <w:rPr>
          <w:rFonts w:ascii="Times New Roman" w:hAnsi="Times New Roman"/>
          <w:sz w:val="24"/>
          <w:szCs w:val="24"/>
          <w:lang w:val="en-US"/>
        </w:rPr>
        <w:t>pH</w:t>
      </w:r>
      <w:r>
        <w:rPr>
          <w:rFonts w:ascii="Times New Roman" w:hAnsi="Times New Roman"/>
          <w:sz w:val="24"/>
          <w:szCs w:val="24"/>
        </w:rPr>
        <w:t xml:space="preserve"> –</w:t>
      </w:r>
      <w:proofErr w:type="spellStart"/>
      <w:r>
        <w:rPr>
          <w:rFonts w:ascii="Times New Roman" w:hAnsi="Times New Roman"/>
          <w:sz w:val="24"/>
          <w:szCs w:val="24"/>
        </w:rPr>
        <w:t>μετρία</w:t>
      </w:r>
      <w:proofErr w:type="spellEnd"/>
      <w:r>
        <w:rPr>
          <w:rFonts w:ascii="Times New Roman" w:hAnsi="Times New Roman"/>
          <w:sz w:val="24"/>
          <w:szCs w:val="24"/>
        </w:rPr>
        <w:t xml:space="preserve"> είναι η εικοσιτετράωρη παρακολούθηση του </w:t>
      </w:r>
      <w:r>
        <w:rPr>
          <w:rFonts w:ascii="Times New Roman" w:hAnsi="Times New Roman"/>
          <w:sz w:val="24"/>
          <w:szCs w:val="24"/>
          <w:lang w:val="en-US"/>
        </w:rPr>
        <w:t>pH</w:t>
      </w:r>
      <w:r>
        <w:rPr>
          <w:rFonts w:ascii="Times New Roman" w:hAnsi="Times New Roman"/>
          <w:sz w:val="24"/>
          <w:szCs w:val="24"/>
        </w:rPr>
        <w:t xml:space="preserve"> του οισοφάγου, που στοχεύει στη διάγνωση της </w:t>
      </w:r>
      <w:proofErr w:type="spellStart"/>
      <w:r>
        <w:rPr>
          <w:rFonts w:ascii="Times New Roman" w:hAnsi="Times New Roman"/>
          <w:sz w:val="24"/>
          <w:szCs w:val="24"/>
        </w:rPr>
        <w:t>γαστροοισοφαγικής</w:t>
      </w:r>
      <w:proofErr w:type="spellEnd"/>
      <w:r>
        <w:rPr>
          <w:rFonts w:ascii="Times New Roman" w:hAnsi="Times New Roman"/>
          <w:sz w:val="24"/>
          <w:szCs w:val="24"/>
        </w:rPr>
        <w:t xml:space="preserve"> παλινδρόμησης. Ακόμη, εκτιμά τη χρονική σχέση ανάμεσα στα επεισόδια παλινδρόμησης και τα άτυπα συμπτώματα. Η μέθοδος αυτή θεωρείται σημαντική για την </w:t>
      </w:r>
      <w:r>
        <w:rPr>
          <w:rFonts w:ascii="Times New Roman" w:hAnsi="Times New Roman"/>
          <w:sz w:val="24"/>
          <w:szCs w:val="24"/>
        </w:rPr>
        <w:lastRenderedPageBreak/>
        <w:t xml:space="preserve">αξιολόγηση ασθενών με </w:t>
      </w:r>
      <w:proofErr w:type="spellStart"/>
      <w:r>
        <w:rPr>
          <w:rFonts w:ascii="Times New Roman" w:hAnsi="Times New Roman"/>
          <w:sz w:val="24"/>
          <w:szCs w:val="24"/>
        </w:rPr>
        <w:t>γαστροοισοφαγική</w:t>
      </w:r>
      <w:proofErr w:type="spellEnd"/>
      <w:r>
        <w:rPr>
          <w:rFonts w:ascii="Times New Roman" w:hAnsi="Times New Roman"/>
          <w:sz w:val="24"/>
          <w:szCs w:val="24"/>
        </w:rPr>
        <w:t xml:space="preserve"> παλινδρόμηση (</w:t>
      </w:r>
      <w:r>
        <w:rPr>
          <w:rFonts w:ascii="Times New Roman" w:hAnsi="Times New Roman"/>
          <w:sz w:val="24"/>
          <w:lang w:val="en-US"/>
        </w:rPr>
        <w:t>Murry</w:t>
      </w:r>
      <w:r>
        <w:rPr>
          <w:rFonts w:ascii="Times New Roman" w:hAnsi="Times New Roman"/>
          <w:sz w:val="24"/>
        </w:rPr>
        <w:t xml:space="preserve"> &amp; </w:t>
      </w:r>
      <w:proofErr w:type="spellStart"/>
      <w:r>
        <w:rPr>
          <w:rFonts w:ascii="Times New Roman" w:hAnsi="Times New Roman"/>
          <w:sz w:val="24"/>
          <w:lang w:val="en-US"/>
        </w:rPr>
        <w:t>Carrau</w:t>
      </w:r>
      <w:proofErr w:type="spellEnd"/>
      <w:r>
        <w:rPr>
          <w:rFonts w:ascii="Times New Roman" w:hAnsi="Times New Roman"/>
          <w:sz w:val="24"/>
        </w:rPr>
        <w:t>, 2014</w:t>
      </w:r>
      <w:r w:rsidR="00646F2B" w:rsidRPr="00646F2B">
        <w:rPr>
          <w:rFonts w:ascii="Times New Roman" w:hAnsi="Times New Roman"/>
          <w:sz w:val="24"/>
        </w:rPr>
        <w:t xml:space="preserve">; </w:t>
      </w:r>
      <w:bookmarkStart w:id="38" w:name="_Hlk492293394"/>
      <w:proofErr w:type="spellStart"/>
      <w:r w:rsidR="00646F2B" w:rsidRPr="00646F2B">
        <w:rPr>
          <w:rFonts w:ascii="Times New Roman" w:hAnsi="Times New Roman"/>
          <w:sz w:val="24"/>
          <w:lang w:val="en-US"/>
        </w:rPr>
        <w:t>Bigenzahn</w:t>
      </w:r>
      <w:proofErr w:type="spellEnd"/>
      <w:r w:rsidR="00646F2B" w:rsidRPr="00646F2B">
        <w:rPr>
          <w:rFonts w:ascii="Times New Roman" w:hAnsi="Times New Roman"/>
          <w:sz w:val="24"/>
        </w:rPr>
        <w:t xml:space="preserve"> &amp; </w:t>
      </w:r>
      <w:proofErr w:type="spellStart"/>
      <w:r w:rsidR="00646F2B" w:rsidRPr="00646F2B">
        <w:rPr>
          <w:rFonts w:ascii="Times New Roman" w:hAnsi="Times New Roman"/>
          <w:sz w:val="24"/>
          <w:lang w:val="en-US"/>
        </w:rPr>
        <w:t>Denk</w:t>
      </w:r>
      <w:proofErr w:type="spellEnd"/>
      <w:r w:rsidR="00646F2B" w:rsidRPr="00646F2B">
        <w:rPr>
          <w:rFonts w:ascii="Times New Roman" w:hAnsi="Times New Roman"/>
          <w:sz w:val="24"/>
        </w:rPr>
        <w:t>, 2013</w:t>
      </w:r>
      <w:r>
        <w:rPr>
          <w:rFonts w:ascii="Times New Roman" w:hAnsi="Times New Roman"/>
          <w:sz w:val="24"/>
        </w:rPr>
        <w:t>)</w:t>
      </w:r>
      <w:r>
        <w:rPr>
          <w:rFonts w:ascii="Times New Roman" w:hAnsi="Times New Roman"/>
          <w:sz w:val="24"/>
          <w:szCs w:val="24"/>
        </w:rPr>
        <w:t>.</w:t>
      </w:r>
    </w:p>
    <w:bookmarkEnd w:id="38"/>
    <w:p w14:paraId="7C862EEB" w14:textId="77777777" w:rsidR="00146CE2" w:rsidRPr="00167B65" w:rsidRDefault="00DB0AA3" w:rsidP="00951ED4">
      <w:pPr>
        <w:pStyle w:val="a5"/>
        <w:numPr>
          <w:ilvl w:val="0"/>
          <w:numId w:val="6"/>
        </w:numPr>
        <w:spacing w:after="120" w:line="360" w:lineRule="auto"/>
        <w:ind w:left="714" w:hanging="357"/>
        <w:jc w:val="both"/>
        <w:rPr>
          <w:rFonts w:ascii="Times New Roman" w:hAnsi="Times New Roman"/>
          <w:sz w:val="24"/>
          <w:szCs w:val="24"/>
        </w:rPr>
      </w:pPr>
      <w:r w:rsidRPr="00167B65">
        <w:rPr>
          <w:rFonts w:ascii="Times New Roman" w:hAnsi="Times New Roman"/>
          <w:i/>
          <w:sz w:val="24"/>
          <w:szCs w:val="24"/>
        </w:rPr>
        <w:t>Ακρόαση αναπνοής:</w:t>
      </w:r>
      <w:r w:rsidRPr="00167B65">
        <w:rPr>
          <w:rFonts w:ascii="Times New Roman" w:hAnsi="Times New Roman"/>
          <w:sz w:val="24"/>
          <w:szCs w:val="24"/>
        </w:rPr>
        <w:t xml:space="preserve"> Χρησιμοποιείται ένα στηθοσκόπιο με το οποίο, ο κλινικός ακροάζεται την αναπνοή καθορίζοντας τις φάσεις πνοής και εκπνοής, όπως και τη στιγμή επιτέλεσης της φαρυγγικής κατάποσης</w:t>
      </w:r>
      <w:r w:rsidR="0035231D" w:rsidRPr="00167B65">
        <w:rPr>
          <w:rFonts w:ascii="Times New Roman" w:hAnsi="Times New Roman"/>
          <w:sz w:val="24"/>
          <w:szCs w:val="24"/>
        </w:rPr>
        <w:t xml:space="preserve"> </w:t>
      </w:r>
      <w:r w:rsidR="00167B65">
        <w:rPr>
          <w:rFonts w:ascii="Times New Roman" w:hAnsi="Times New Roman"/>
          <w:sz w:val="24"/>
          <w:szCs w:val="24"/>
        </w:rPr>
        <w:t>(</w:t>
      </w:r>
      <w:proofErr w:type="spellStart"/>
      <w:r w:rsidR="00167B65">
        <w:rPr>
          <w:rFonts w:ascii="Times New Roman" w:hAnsi="Times New Roman"/>
          <w:sz w:val="24"/>
          <w:szCs w:val="24"/>
        </w:rPr>
        <w:t>Καμπανάρου</w:t>
      </w:r>
      <w:proofErr w:type="spellEnd"/>
      <w:r w:rsidR="00167B65">
        <w:rPr>
          <w:rFonts w:ascii="Times New Roman" w:hAnsi="Times New Roman"/>
          <w:sz w:val="24"/>
          <w:szCs w:val="24"/>
        </w:rPr>
        <w:t>, 2007</w:t>
      </w:r>
      <w:r w:rsidR="00167B65" w:rsidRPr="00167B65">
        <w:rPr>
          <w:rFonts w:ascii="Times New Roman" w:hAnsi="Times New Roman"/>
          <w:sz w:val="24"/>
          <w:szCs w:val="24"/>
        </w:rPr>
        <w:t xml:space="preserve">; </w:t>
      </w:r>
      <w:proofErr w:type="spellStart"/>
      <w:r w:rsidR="00167B65" w:rsidRPr="00167B65">
        <w:rPr>
          <w:rFonts w:ascii="Times New Roman" w:hAnsi="Times New Roman"/>
          <w:sz w:val="24"/>
          <w:szCs w:val="24"/>
        </w:rPr>
        <w:t>Bigenzahn</w:t>
      </w:r>
      <w:proofErr w:type="spellEnd"/>
      <w:r w:rsidR="00167B65" w:rsidRPr="00167B65">
        <w:rPr>
          <w:rFonts w:ascii="Times New Roman" w:hAnsi="Times New Roman"/>
          <w:sz w:val="24"/>
          <w:szCs w:val="24"/>
        </w:rPr>
        <w:t xml:space="preserve"> &amp; </w:t>
      </w:r>
      <w:proofErr w:type="spellStart"/>
      <w:r w:rsidR="00167B65" w:rsidRPr="00167B65">
        <w:rPr>
          <w:rFonts w:ascii="Times New Roman" w:hAnsi="Times New Roman"/>
          <w:sz w:val="24"/>
          <w:szCs w:val="24"/>
        </w:rPr>
        <w:t>Denk</w:t>
      </w:r>
      <w:proofErr w:type="spellEnd"/>
      <w:r w:rsidR="00167B65" w:rsidRPr="00167B65">
        <w:rPr>
          <w:rFonts w:ascii="Times New Roman" w:hAnsi="Times New Roman"/>
          <w:sz w:val="24"/>
          <w:szCs w:val="24"/>
        </w:rPr>
        <w:t>, 2013)</w:t>
      </w:r>
      <w:r w:rsidRPr="00167B65">
        <w:rPr>
          <w:rFonts w:ascii="Times New Roman" w:hAnsi="Times New Roman"/>
          <w:sz w:val="24"/>
          <w:szCs w:val="24"/>
        </w:rPr>
        <w:t>. Οι εκκρίσεις που βρίσκονται στους αεραγωγούς, καθώς και οι αλλαγές  που συμβαίνουν στην ποσότητα αυτών, πριν ή/και μετά την κατάποση, είναι ακροατές. Κάθε μεταβολή στην ποσότητα των μετρήσεων μπορεί να αποτελεί ένδειξη αναγωγής, γεγονός που επιτρέπει την αναγνώριση ασθενών που ανήκουν σε ομάδες υψηλού κινδύνου (Μεσσήνης &amp; Αντωνιάδης, 2010).</w:t>
      </w:r>
    </w:p>
    <w:p w14:paraId="42C2F059" w14:textId="77777777" w:rsidR="00146CE2" w:rsidRDefault="00DB0AA3" w:rsidP="00951ED4">
      <w:pPr>
        <w:pStyle w:val="a5"/>
        <w:numPr>
          <w:ilvl w:val="0"/>
          <w:numId w:val="6"/>
        </w:numPr>
        <w:spacing w:after="120" w:line="360" w:lineRule="auto"/>
        <w:jc w:val="both"/>
        <w:rPr>
          <w:rFonts w:ascii="Times New Roman" w:hAnsi="Times New Roman"/>
          <w:sz w:val="24"/>
          <w:szCs w:val="24"/>
        </w:rPr>
      </w:pPr>
      <w:proofErr w:type="spellStart"/>
      <w:r>
        <w:rPr>
          <w:rFonts w:ascii="Times New Roman" w:hAnsi="Times New Roman"/>
          <w:i/>
          <w:sz w:val="24"/>
          <w:szCs w:val="24"/>
        </w:rPr>
        <w:t>Ηλεκτρογλωττιδογραφία</w:t>
      </w:r>
      <w:proofErr w:type="spellEnd"/>
      <w:r>
        <w:rPr>
          <w:rFonts w:ascii="Times New Roman" w:hAnsi="Times New Roman"/>
          <w:i/>
          <w:sz w:val="24"/>
          <w:szCs w:val="24"/>
        </w:rPr>
        <w:t>:</w:t>
      </w:r>
      <w:r>
        <w:rPr>
          <w:rFonts w:ascii="Times New Roman" w:hAnsi="Times New Roman"/>
          <w:sz w:val="24"/>
          <w:szCs w:val="24"/>
        </w:rPr>
        <w:t xml:space="preserve"> Η </w:t>
      </w:r>
      <w:proofErr w:type="spellStart"/>
      <w:r>
        <w:rPr>
          <w:rFonts w:ascii="Times New Roman" w:hAnsi="Times New Roman"/>
          <w:sz w:val="24"/>
          <w:szCs w:val="24"/>
        </w:rPr>
        <w:t>ηλεκτρογλωττιδογραφία</w:t>
      </w:r>
      <w:proofErr w:type="spellEnd"/>
      <w:r>
        <w:rPr>
          <w:rFonts w:ascii="Times New Roman" w:hAnsi="Times New Roman"/>
          <w:sz w:val="24"/>
          <w:szCs w:val="24"/>
        </w:rPr>
        <w:t xml:space="preserve"> καταγράφει την κίνηση και τις αλλαγές στην ταχύτητα των φωνητικών χορδών, καθώς αυτές συγκλίνουν και αποκλίνουν κατά τη φώνηση</w:t>
      </w:r>
      <w:r w:rsidR="00805A29" w:rsidRPr="00805A29">
        <w:rPr>
          <w:rFonts w:ascii="Times New Roman" w:hAnsi="Times New Roman"/>
          <w:sz w:val="24"/>
          <w:szCs w:val="24"/>
        </w:rPr>
        <w:t xml:space="preserve"> (</w:t>
      </w:r>
      <w:proofErr w:type="spellStart"/>
      <w:r w:rsidR="00805A29">
        <w:rPr>
          <w:rFonts w:ascii="Times New Roman" w:hAnsi="Times New Roman"/>
          <w:sz w:val="24"/>
          <w:szCs w:val="24"/>
        </w:rPr>
        <w:t>Καμπανάρου</w:t>
      </w:r>
      <w:proofErr w:type="spellEnd"/>
      <w:r w:rsidR="00805A29">
        <w:rPr>
          <w:rFonts w:ascii="Times New Roman" w:hAnsi="Times New Roman"/>
          <w:sz w:val="24"/>
          <w:szCs w:val="24"/>
        </w:rPr>
        <w:t>, 2007)</w:t>
      </w:r>
      <w:r>
        <w:rPr>
          <w:rFonts w:ascii="Times New Roman" w:hAnsi="Times New Roman"/>
          <w:sz w:val="24"/>
          <w:szCs w:val="24"/>
        </w:rPr>
        <w:t>. Επιπλέον, με τη μετατροπή του εξοπλισμού είναι εφικτή η παρακολούθηση της λαρυγγικής ανύψωσης, γεγονός που παρέχει πληροφορίες σχετικά με τον καθορισμό της έναρξης και της</w:t>
      </w:r>
      <w:r w:rsidR="001F39EA">
        <w:rPr>
          <w:rFonts w:ascii="Times New Roman" w:hAnsi="Times New Roman"/>
          <w:sz w:val="24"/>
          <w:szCs w:val="24"/>
        </w:rPr>
        <w:t xml:space="preserve"> λήξης της φαρυγγικής κατάποσης </w:t>
      </w:r>
      <w:r w:rsidR="001F39EA" w:rsidRPr="001F39EA">
        <w:rPr>
          <w:rFonts w:ascii="Times New Roman" w:hAnsi="Times New Roman"/>
          <w:sz w:val="24"/>
          <w:szCs w:val="24"/>
        </w:rPr>
        <w:t>(Μεσσήνης &amp; Αντωνιάδης, 2010).</w:t>
      </w:r>
    </w:p>
    <w:p w14:paraId="4B8B4D4A" w14:textId="77777777" w:rsidR="00146CE2" w:rsidRPr="00BF0161" w:rsidRDefault="00146CE2" w:rsidP="00951ED4">
      <w:pPr>
        <w:spacing w:after="120" w:line="360" w:lineRule="auto"/>
        <w:jc w:val="both"/>
        <w:rPr>
          <w:b/>
          <w:lang w:val="el-GR"/>
        </w:rPr>
      </w:pPr>
    </w:p>
    <w:p w14:paraId="3A20EA3F" w14:textId="77777777" w:rsidR="00146CE2" w:rsidRPr="00456D14" w:rsidRDefault="00DB0AA3" w:rsidP="00456D14">
      <w:pPr>
        <w:pStyle w:val="2"/>
        <w:spacing w:before="0" w:line="360" w:lineRule="auto"/>
        <w:rPr>
          <w:b/>
        </w:rPr>
      </w:pPr>
      <w:bookmarkStart w:id="39" w:name="_Toc493323977"/>
      <w:r w:rsidRPr="00456D14">
        <w:rPr>
          <w:b/>
        </w:rPr>
        <w:t>1.5.3 Λογοθεραπευτική αξιολόγηση κατάποσης</w:t>
      </w:r>
      <w:bookmarkEnd w:id="39"/>
    </w:p>
    <w:p w14:paraId="1BC74EFA" w14:textId="77777777" w:rsidR="00146CE2" w:rsidRDefault="00DB0AA3">
      <w:pPr>
        <w:spacing w:after="120" w:line="360" w:lineRule="auto"/>
        <w:jc w:val="both"/>
      </w:pPr>
      <w:r w:rsidRPr="00BF0161">
        <w:rPr>
          <w:lang w:val="el-GR"/>
        </w:rPr>
        <w:t xml:space="preserve">Οι λογοθεραπευτές ως μέλη της διεπιστημονικής ομάδας, προβαίνουν σε αξιολόγηση του ατόμου με σκοπό την εξακρίβωση πιθανών διαταραχών κατάποσης. </w:t>
      </w:r>
      <w:r>
        <w:t xml:space="preserve">Η </w:t>
      </w:r>
      <w:proofErr w:type="spellStart"/>
      <w:r>
        <w:t>εκτίμηση</w:t>
      </w:r>
      <w:proofErr w:type="spellEnd"/>
      <w:r>
        <w:t xml:space="preserve"> α</w:t>
      </w:r>
      <w:proofErr w:type="spellStart"/>
      <w:r>
        <w:t>υτή</w:t>
      </w:r>
      <w:proofErr w:type="spellEnd"/>
      <w:r>
        <w:t xml:space="preserve"> π</w:t>
      </w:r>
      <w:proofErr w:type="spellStart"/>
      <w:r>
        <w:t>εριλ</w:t>
      </w:r>
      <w:proofErr w:type="spellEnd"/>
      <w:r>
        <w:t xml:space="preserve">αμβάνει </w:t>
      </w:r>
      <w:proofErr w:type="spellStart"/>
      <w:r>
        <w:t>τις</w:t>
      </w:r>
      <w:proofErr w:type="spellEnd"/>
      <w:r>
        <w:t xml:space="preserve"> </w:t>
      </w:r>
      <w:proofErr w:type="spellStart"/>
      <w:r>
        <w:t>εξής</w:t>
      </w:r>
      <w:proofErr w:type="spellEnd"/>
      <w:r>
        <w:t xml:space="preserve"> α</w:t>
      </w:r>
      <w:proofErr w:type="spellStart"/>
      <w:r>
        <w:t>ξιολογήσεις</w:t>
      </w:r>
      <w:proofErr w:type="spellEnd"/>
      <w:r>
        <w:t>:</w:t>
      </w:r>
    </w:p>
    <w:p w14:paraId="482D895D" w14:textId="77777777" w:rsidR="00146CE2" w:rsidRDefault="00DB0AA3">
      <w:pPr>
        <w:pStyle w:val="a5"/>
        <w:numPr>
          <w:ilvl w:val="0"/>
          <w:numId w:val="7"/>
        </w:numPr>
        <w:spacing w:after="120" w:line="360" w:lineRule="auto"/>
        <w:jc w:val="both"/>
        <w:rPr>
          <w:rFonts w:ascii="Times New Roman" w:hAnsi="Times New Roman"/>
          <w:sz w:val="24"/>
          <w:szCs w:val="24"/>
        </w:rPr>
      </w:pPr>
      <w:r>
        <w:rPr>
          <w:rFonts w:ascii="Times New Roman" w:hAnsi="Times New Roman"/>
          <w:sz w:val="24"/>
          <w:szCs w:val="24"/>
        </w:rPr>
        <w:t>Ειδική αξιολόγηση στοματικών αντανακλαστικών</w:t>
      </w:r>
    </w:p>
    <w:p w14:paraId="15FB85A3" w14:textId="77777777" w:rsidR="00146CE2" w:rsidRDefault="00DB0AA3">
      <w:pPr>
        <w:pStyle w:val="a5"/>
        <w:numPr>
          <w:ilvl w:val="0"/>
          <w:numId w:val="7"/>
        </w:numPr>
        <w:spacing w:after="120" w:line="360" w:lineRule="auto"/>
        <w:jc w:val="both"/>
        <w:rPr>
          <w:rFonts w:ascii="Times New Roman" w:hAnsi="Times New Roman"/>
          <w:sz w:val="24"/>
          <w:szCs w:val="24"/>
        </w:rPr>
      </w:pPr>
      <w:r>
        <w:rPr>
          <w:rFonts w:ascii="Times New Roman" w:hAnsi="Times New Roman"/>
          <w:sz w:val="24"/>
          <w:szCs w:val="24"/>
        </w:rPr>
        <w:t>Ειδική αξιολόγηση γεύσης</w:t>
      </w:r>
    </w:p>
    <w:p w14:paraId="6D427150" w14:textId="77777777" w:rsidR="00146CE2" w:rsidRDefault="00DB0AA3">
      <w:pPr>
        <w:pStyle w:val="a5"/>
        <w:numPr>
          <w:ilvl w:val="0"/>
          <w:numId w:val="7"/>
        </w:numPr>
        <w:spacing w:after="120" w:line="360" w:lineRule="auto"/>
        <w:jc w:val="both"/>
        <w:rPr>
          <w:rFonts w:ascii="Times New Roman" w:hAnsi="Times New Roman"/>
          <w:sz w:val="24"/>
          <w:szCs w:val="24"/>
        </w:rPr>
      </w:pPr>
      <w:r>
        <w:rPr>
          <w:rFonts w:ascii="Times New Roman" w:hAnsi="Times New Roman"/>
          <w:sz w:val="24"/>
          <w:szCs w:val="24"/>
        </w:rPr>
        <w:t>Ειδική αξιολόγηση κινητικής συμπεριφοράς των οργάνων</w:t>
      </w:r>
    </w:p>
    <w:p w14:paraId="2902059F" w14:textId="77777777" w:rsidR="00146CE2" w:rsidRDefault="00DB0AA3">
      <w:pPr>
        <w:pStyle w:val="a5"/>
        <w:numPr>
          <w:ilvl w:val="0"/>
          <w:numId w:val="7"/>
        </w:numPr>
        <w:spacing w:after="120" w:line="360" w:lineRule="auto"/>
        <w:jc w:val="both"/>
        <w:rPr>
          <w:rFonts w:ascii="Times New Roman" w:hAnsi="Times New Roman"/>
          <w:sz w:val="24"/>
          <w:szCs w:val="24"/>
        </w:rPr>
      </w:pPr>
      <w:r>
        <w:rPr>
          <w:rFonts w:ascii="Times New Roman" w:hAnsi="Times New Roman"/>
          <w:sz w:val="24"/>
          <w:szCs w:val="24"/>
        </w:rPr>
        <w:t>Ειδική αξιολόγηση διαταραχών στοματικού σταδίου</w:t>
      </w:r>
    </w:p>
    <w:p w14:paraId="4D9E6C78" w14:textId="77777777" w:rsidR="00146CE2" w:rsidRDefault="00DB0AA3">
      <w:pPr>
        <w:pStyle w:val="a5"/>
        <w:numPr>
          <w:ilvl w:val="0"/>
          <w:numId w:val="7"/>
        </w:numPr>
        <w:spacing w:after="120" w:line="360" w:lineRule="auto"/>
        <w:jc w:val="both"/>
        <w:rPr>
          <w:rFonts w:ascii="Times New Roman" w:hAnsi="Times New Roman"/>
          <w:sz w:val="24"/>
          <w:szCs w:val="24"/>
        </w:rPr>
      </w:pPr>
      <w:r>
        <w:rPr>
          <w:rFonts w:ascii="Times New Roman" w:hAnsi="Times New Roman"/>
          <w:sz w:val="24"/>
          <w:szCs w:val="24"/>
        </w:rPr>
        <w:t>Ειδική αξιολόγηση  διαταραχών φαρυγγικού σταδίου</w:t>
      </w:r>
    </w:p>
    <w:p w14:paraId="51B40AEA" w14:textId="77777777" w:rsidR="00146CE2" w:rsidRDefault="00DB0AA3">
      <w:pPr>
        <w:pStyle w:val="a5"/>
        <w:numPr>
          <w:ilvl w:val="0"/>
          <w:numId w:val="7"/>
        </w:numPr>
        <w:spacing w:after="120" w:line="360" w:lineRule="auto"/>
        <w:jc w:val="both"/>
        <w:rPr>
          <w:rFonts w:ascii="Times New Roman" w:hAnsi="Times New Roman"/>
          <w:sz w:val="24"/>
          <w:szCs w:val="24"/>
        </w:rPr>
      </w:pPr>
      <w:r>
        <w:rPr>
          <w:rFonts w:ascii="Times New Roman" w:hAnsi="Times New Roman"/>
          <w:sz w:val="24"/>
          <w:szCs w:val="24"/>
        </w:rPr>
        <w:t>Ειδική αξιολόγηση λαρυγγικής λειτουργίας</w:t>
      </w:r>
    </w:p>
    <w:p w14:paraId="03138C40" w14:textId="77777777" w:rsidR="00146CE2" w:rsidRDefault="00DB0AA3">
      <w:pPr>
        <w:pStyle w:val="a5"/>
        <w:numPr>
          <w:ilvl w:val="0"/>
          <w:numId w:val="7"/>
        </w:numPr>
        <w:spacing w:after="120" w:line="360" w:lineRule="auto"/>
        <w:jc w:val="both"/>
        <w:rPr>
          <w:rFonts w:ascii="Times New Roman" w:hAnsi="Times New Roman"/>
          <w:sz w:val="24"/>
          <w:szCs w:val="24"/>
        </w:rPr>
      </w:pPr>
      <w:r>
        <w:rPr>
          <w:rFonts w:ascii="Times New Roman" w:hAnsi="Times New Roman"/>
          <w:sz w:val="24"/>
          <w:szCs w:val="24"/>
        </w:rPr>
        <w:t>Ειδική αξιολόγηση αναγωγής</w:t>
      </w:r>
    </w:p>
    <w:p w14:paraId="1FF8338A" w14:textId="77777777" w:rsidR="005D0950" w:rsidRDefault="005D0950">
      <w:pPr>
        <w:spacing w:after="120" w:line="360" w:lineRule="auto"/>
        <w:jc w:val="both"/>
        <w:rPr>
          <w:b/>
        </w:rPr>
      </w:pPr>
    </w:p>
    <w:p w14:paraId="0FDE0922" w14:textId="77777777" w:rsidR="00146CE2" w:rsidRPr="00456D14" w:rsidRDefault="00DB0AA3" w:rsidP="00456D14">
      <w:pPr>
        <w:pStyle w:val="2"/>
        <w:spacing w:before="0" w:line="360" w:lineRule="auto"/>
        <w:rPr>
          <w:b/>
        </w:rPr>
      </w:pPr>
      <w:bookmarkStart w:id="40" w:name="_Toc493323978"/>
      <w:r w:rsidRPr="00456D14">
        <w:rPr>
          <w:b/>
        </w:rPr>
        <w:t>1.5.3.1 Ειδική αξιολόγηση στοματικών αντανακλαστικών</w:t>
      </w:r>
      <w:bookmarkEnd w:id="40"/>
      <w:r w:rsidRPr="00456D14">
        <w:rPr>
          <w:b/>
        </w:rPr>
        <w:t xml:space="preserve"> </w:t>
      </w:r>
    </w:p>
    <w:p w14:paraId="54111938" w14:textId="77777777" w:rsidR="00146CE2" w:rsidRDefault="00147866">
      <w:pPr>
        <w:spacing w:after="120" w:line="360" w:lineRule="auto"/>
        <w:jc w:val="both"/>
      </w:pPr>
      <w:r>
        <w:rPr>
          <w:lang w:val="el-GR"/>
        </w:rPr>
        <w:t>Σύμφωνα με τους</w:t>
      </w:r>
      <w:r w:rsidR="00B131D1">
        <w:rPr>
          <w:lang w:val="el-GR"/>
        </w:rPr>
        <w:t xml:space="preserve"> </w:t>
      </w:r>
      <w:r>
        <w:rPr>
          <w:lang w:val="el-GR"/>
        </w:rPr>
        <w:t>Μεσσήνη και Αντωνιάδη (2010)</w:t>
      </w:r>
      <w:r w:rsidR="00B131D1">
        <w:rPr>
          <w:lang w:val="el-GR"/>
        </w:rPr>
        <w:t>,</w:t>
      </w:r>
      <w:r w:rsidR="00D00938">
        <w:rPr>
          <w:lang w:val="el-GR"/>
        </w:rPr>
        <w:t xml:space="preserve"> τα</w:t>
      </w:r>
      <w:r w:rsidR="00DB0AA3" w:rsidRPr="00BF0161">
        <w:rPr>
          <w:lang w:val="el-GR"/>
        </w:rPr>
        <w:t xml:space="preserve"> αντα</w:t>
      </w:r>
      <w:r w:rsidR="007443D0">
        <w:rPr>
          <w:lang w:val="el-GR"/>
        </w:rPr>
        <w:t xml:space="preserve">νακλαστικά που συμμετέχουν στην κατάποση </w:t>
      </w:r>
      <w:proofErr w:type="spellStart"/>
      <w:r w:rsidR="007443D0">
        <w:rPr>
          <w:lang w:val="el-GR"/>
        </w:rPr>
        <w:t>πυροδοτούνται</w:t>
      </w:r>
      <w:proofErr w:type="spellEnd"/>
      <w:r w:rsidR="007443D0">
        <w:rPr>
          <w:lang w:val="el-GR"/>
        </w:rPr>
        <w:t xml:space="preserve"> μετά τη διέγερση συγκε</w:t>
      </w:r>
      <w:r w:rsidR="007443D0">
        <w:rPr>
          <w:lang w:val="el-GR"/>
        </w:rPr>
        <w:lastRenderedPageBreak/>
        <w:t xml:space="preserve">κριμένων περιοχών </w:t>
      </w:r>
      <w:r w:rsidR="00DB0AA3" w:rsidRPr="00BF0161">
        <w:rPr>
          <w:lang w:val="el-GR"/>
        </w:rPr>
        <w:t xml:space="preserve">της στοματικής κοιλότητας. Ένα μέρος του μη παθολογικού πληθυσμού μπορεί να μην παρουσιάζει καμία αντανακλαστική αντίδραση. </w:t>
      </w:r>
      <w:r w:rsidR="00DB0AA3">
        <w:t>Τα α</w:t>
      </w:r>
      <w:proofErr w:type="spellStart"/>
      <w:r w:rsidR="00DB0AA3">
        <w:t>ντ</w:t>
      </w:r>
      <w:proofErr w:type="spellEnd"/>
      <w:r w:rsidR="00DB0AA3">
        <w:t>ανακλαστικά α</w:t>
      </w:r>
      <w:proofErr w:type="spellStart"/>
      <w:r w:rsidR="00DB0AA3">
        <w:t>υτά</w:t>
      </w:r>
      <w:proofErr w:type="spellEnd"/>
      <w:r w:rsidR="00DB0AA3">
        <w:t xml:space="preserve"> </w:t>
      </w:r>
      <w:proofErr w:type="spellStart"/>
      <w:r w:rsidR="00DB0AA3">
        <w:t>είν</w:t>
      </w:r>
      <w:proofErr w:type="spellEnd"/>
      <w:r w:rsidR="00DB0AA3">
        <w:t xml:space="preserve">αι </w:t>
      </w:r>
      <w:proofErr w:type="spellStart"/>
      <w:r w:rsidR="00DB0AA3">
        <w:t>τρί</w:t>
      </w:r>
      <w:proofErr w:type="spellEnd"/>
      <w:r w:rsidR="00DB0AA3">
        <w:t>α:</w:t>
      </w:r>
    </w:p>
    <w:p w14:paraId="2F015834" w14:textId="77777777" w:rsidR="00146CE2" w:rsidRDefault="00DB0AA3">
      <w:pPr>
        <w:pStyle w:val="a5"/>
        <w:numPr>
          <w:ilvl w:val="0"/>
          <w:numId w:val="8"/>
        </w:numPr>
        <w:spacing w:after="120" w:line="360" w:lineRule="auto"/>
        <w:jc w:val="both"/>
        <w:rPr>
          <w:rFonts w:ascii="Times New Roman" w:hAnsi="Times New Roman"/>
          <w:sz w:val="24"/>
        </w:rPr>
      </w:pPr>
      <w:r>
        <w:rPr>
          <w:rFonts w:ascii="Times New Roman" w:hAnsi="Times New Roman"/>
          <w:i/>
          <w:sz w:val="24"/>
          <w:szCs w:val="24"/>
        </w:rPr>
        <w:t>Υπερωικό αντανακλαστικό</w:t>
      </w:r>
      <w:r>
        <w:rPr>
          <w:rFonts w:ascii="Times New Roman" w:hAnsi="Times New Roman"/>
          <w:sz w:val="24"/>
          <w:szCs w:val="24"/>
        </w:rPr>
        <w:t xml:space="preserve">: Για την διέγερση του συγκεκριμένου αντανακλαστικού ο κλινικός με τη χρήση μίας </w:t>
      </w:r>
      <w:proofErr w:type="spellStart"/>
      <w:r>
        <w:rPr>
          <w:rFonts w:ascii="Times New Roman" w:hAnsi="Times New Roman"/>
          <w:sz w:val="24"/>
          <w:szCs w:val="24"/>
        </w:rPr>
        <w:t>μπατονέτας</w:t>
      </w:r>
      <w:proofErr w:type="spellEnd"/>
      <w:r>
        <w:rPr>
          <w:rFonts w:ascii="Times New Roman" w:hAnsi="Times New Roman"/>
          <w:sz w:val="24"/>
          <w:szCs w:val="24"/>
        </w:rPr>
        <w:t xml:space="preserve"> ή ενός </w:t>
      </w:r>
      <w:proofErr w:type="spellStart"/>
      <w:r>
        <w:rPr>
          <w:rFonts w:ascii="Times New Roman" w:hAnsi="Times New Roman"/>
          <w:sz w:val="24"/>
          <w:szCs w:val="24"/>
        </w:rPr>
        <w:t>γλωσσοπίεστρου</w:t>
      </w:r>
      <w:proofErr w:type="spellEnd"/>
      <w:r>
        <w:rPr>
          <w:rFonts w:ascii="Times New Roman" w:hAnsi="Times New Roman"/>
          <w:sz w:val="24"/>
          <w:szCs w:val="24"/>
        </w:rPr>
        <w:t xml:space="preserve"> αγγίζει το σημείο μπροστά από την σταφυλή και πάνω στην μαλθακή υπερώα. Αναμενόμενη αντίδραση είναι η ανύψωση της μαλθακής υπερώας, ίσως και μετά από μικρή καθυστέρηση. Αυτό αποσκοπεί στο κλείσιμο του ρινοφάρυγγα, για να γίνει μία ασφαλής και ομαλή μετακίνηση του βλωμού. Κάποια άτομα ίσως εμφανίζουν υπερευαισθησία με αποτέλεσμα να μην είναι σε θέση να ελέγχουν την έναρξη της κατάποσης. Σε τέτοιες περιπτώσεις κρίνεται απαραίτητη η συστηματική απευαισθητοποίηση του αντανακλαστικού </w:t>
      </w:r>
      <w:r>
        <w:rPr>
          <w:rFonts w:ascii="Times New Roman" w:hAnsi="Times New Roman"/>
          <w:sz w:val="24"/>
        </w:rPr>
        <w:t>(Μεσσήνης &amp; Αντωνιάδης, 2010).</w:t>
      </w:r>
    </w:p>
    <w:p w14:paraId="61A19B14" w14:textId="77777777" w:rsidR="00146CE2" w:rsidRDefault="00DB0AA3">
      <w:pPr>
        <w:pStyle w:val="a5"/>
        <w:numPr>
          <w:ilvl w:val="0"/>
          <w:numId w:val="8"/>
        </w:numPr>
        <w:spacing w:after="120" w:line="360" w:lineRule="auto"/>
        <w:jc w:val="both"/>
        <w:rPr>
          <w:rFonts w:ascii="Times New Roman" w:hAnsi="Times New Roman"/>
          <w:sz w:val="24"/>
        </w:rPr>
      </w:pPr>
      <w:r>
        <w:rPr>
          <w:rFonts w:ascii="Times New Roman" w:hAnsi="Times New Roman"/>
          <w:i/>
          <w:sz w:val="24"/>
          <w:szCs w:val="24"/>
        </w:rPr>
        <w:t>Αντανακλαστικό έμμεσης</w:t>
      </w:r>
      <w:r>
        <w:rPr>
          <w:rFonts w:ascii="Times New Roman" w:hAnsi="Times New Roman"/>
          <w:sz w:val="24"/>
          <w:szCs w:val="24"/>
        </w:rPr>
        <w:t>: Το αντανακλαστικό έμμεσης προκαλείται με την διέγερση του οπίσθιου τμήματος της στοματική κοιλότητας (</w:t>
      </w:r>
      <w:bookmarkStart w:id="41" w:name="_Hlk492293910"/>
      <w:r>
        <w:rPr>
          <w:rFonts w:ascii="Times New Roman" w:hAnsi="Times New Roman"/>
          <w:sz w:val="24"/>
          <w:lang w:val="en-US"/>
        </w:rPr>
        <w:t>Murry</w:t>
      </w:r>
      <w:r>
        <w:rPr>
          <w:rFonts w:ascii="Times New Roman" w:hAnsi="Times New Roman"/>
          <w:sz w:val="24"/>
        </w:rPr>
        <w:t xml:space="preserve"> &amp; </w:t>
      </w:r>
      <w:proofErr w:type="spellStart"/>
      <w:r>
        <w:rPr>
          <w:rFonts w:ascii="Times New Roman" w:hAnsi="Times New Roman"/>
          <w:sz w:val="24"/>
          <w:lang w:val="en-US"/>
        </w:rPr>
        <w:t>Carrau</w:t>
      </w:r>
      <w:proofErr w:type="spellEnd"/>
      <w:r>
        <w:rPr>
          <w:rFonts w:ascii="Times New Roman" w:hAnsi="Times New Roman"/>
          <w:sz w:val="24"/>
        </w:rPr>
        <w:t>, 2014</w:t>
      </w:r>
      <w:bookmarkEnd w:id="41"/>
      <w:r>
        <w:rPr>
          <w:rFonts w:ascii="Times New Roman" w:hAnsi="Times New Roman"/>
          <w:sz w:val="24"/>
        </w:rPr>
        <w:t>)</w:t>
      </w:r>
      <w:r>
        <w:rPr>
          <w:rFonts w:ascii="Times New Roman" w:hAnsi="Times New Roman"/>
          <w:sz w:val="24"/>
          <w:szCs w:val="24"/>
        </w:rPr>
        <w:t>. Δεν είναι αναγκαία η εμφάνιση του, και γι</w:t>
      </w:r>
      <w:r w:rsidR="004E7E2A">
        <w:rPr>
          <w:rFonts w:ascii="Times New Roman" w:hAnsi="Times New Roman"/>
          <w:sz w:val="24"/>
          <w:szCs w:val="24"/>
        </w:rPr>
        <w:t>’</w:t>
      </w:r>
      <w:r>
        <w:rPr>
          <w:rFonts w:ascii="Times New Roman" w:hAnsi="Times New Roman"/>
          <w:sz w:val="24"/>
          <w:szCs w:val="24"/>
        </w:rPr>
        <w:t xml:space="preserve"> αυτό δεν συνίσταται η επιμονή πρόκλησής του από τον κλινικό. Σε </w:t>
      </w:r>
      <w:r>
        <w:rPr>
          <w:rFonts w:ascii="Times New Roman" w:hAnsi="Times New Roman"/>
          <w:sz w:val="24"/>
          <w:szCs w:val="24"/>
        </w:rPr>
        <w:lastRenderedPageBreak/>
        <w:t xml:space="preserve">περίπτωση μίας υπερευαίσθητης αντίδρασης, ενδεχομένως αναστέλλεται  η σίτιση </w:t>
      </w:r>
      <w:r>
        <w:rPr>
          <w:rFonts w:ascii="Times New Roman" w:hAnsi="Times New Roman"/>
          <w:sz w:val="24"/>
        </w:rPr>
        <w:t xml:space="preserve">(Μεσσήνης &amp; Αντωνιάδης, 2010). </w:t>
      </w:r>
    </w:p>
    <w:p w14:paraId="0FC74674" w14:textId="77777777" w:rsidR="00146CE2" w:rsidRDefault="00DB0AA3">
      <w:pPr>
        <w:pStyle w:val="a5"/>
        <w:numPr>
          <w:ilvl w:val="0"/>
          <w:numId w:val="8"/>
        </w:numPr>
        <w:spacing w:after="120" w:line="360" w:lineRule="auto"/>
        <w:jc w:val="both"/>
        <w:rPr>
          <w:rFonts w:ascii="Times New Roman" w:hAnsi="Times New Roman"/>
          <w:sz w:val="24"/>
        </w:rPr>
      </w:pPr>
      <w:r>
        <w:rPr>
          <w:rFonts w:ascii="Times New Roman" w:hAnsi="Times New Roman"/>
          <w:i/>
          <w:sz w:val="24"/>
          <w:szCs w:val="24"/>
        </w:rPr>
        <w:t>Αντανακλαστικό της κατάποσης</w:t>
      </w:r>
      <w:r>
        <w:rPr>
          <w:rFonts w:ascii="Times New Roman" w:hAnsi="Times New Roman"/>
          <w:sz w:val="24"/>
          <w:szCs w:val="24"/>
        </w:rPr>
        <w:t xml:space="preserve">: Για τη διέγερση του αντανακλαστικού της κατάποσης χρησιμοποιείται αποστειρωμένη βούρτσα ή </w:t>
      </w:r>
      <w:proofErr w:type="spellStart"/>
      <w:r>
        <w:rPr>
          <w:rFonts w:ascii="Times New Roman" w:hAnsi="Times New Roman"/>
          <w:sz w:val="24"/>
          <w:szCs w:val="24"/>
        </w:rPr>
        <w:t>λαρυγγοσκοπικός</w:t>
      </w:r>
      <w:proofErr w:type="spellEnd"/>
      <w:r>
        <w:rPr>
          <w:rFonts w:ascii="Times New Roman" w:hAnsi="Times New Roman"/>
          <w:sz w:val="24"/>
          <w:szCs w:val="24"/>
        </w:rPr>
        <w:t xml:space="preserve"> καθρέφτης  πιέζοντας ελαφρά την βάση κάθε παρίσθμιας καμάρας 5 φορές. Αναμένεται άμεση αντίδραση. Στην περίπτωση καθυστερημένης αντίδρασης, αυτή γίνεται εφόσον έχει απομακρυνθεί το ερέθισμα. Εάν δεν εμφανιστεί καμία αντίδραση, τότε δεν επιτελείται  το φαρυγγικό στάδιο </w:t>
      </w:r>
      <w:r>
        <w:rPr>
          <w:rFonts w:ascii="Times New Roman" w:hAnsi="Times New Roman"/>
          <w:sz w:val="24"/>
        </w:rPr>
        <w:t>(Μεσσήνης &amp; Αντωνιάδης, 2010).</w:t>
      </w:r>
    </w:p>
    <w:p w14:paraId="6AE6911A" w14:textId="77777777" w:rsidR="005D0950" w:rsidRPr="00BF0161" w:rsidRDefault="005D0950">
      <w:pPr>
        <w:spacing w:after="120" w:line="360" w:lineRule="auto"/>
        <w:jc w:val="both"/>
        <w:rPr>
          <w:b/>
          <w:lang w:val="el-GR"/>
        </w:rPr>
      </w:pPr>
    </w:p>
    <w:p w14:paraId="2A597ECB" w14:textId="77777777" w:rsidR="00951ED4" w:rsidRPr="00DA4172" w:rsidRDefault="00951ED4">
      <w:pPr>
        <w:spacing w:after="120" w:line="360" w:lineRule="auto"/>
        <w:jc w:val="both"/>
        <w:rPr>
          <w:b/>
          <w:lang w:val="el-GR"/>
        </w:rPr>
      </w:pPr>
    </w:p>
    <w:p w14:paraId="4661FE66" w14:textId="77777777" w:rsidR="00146CE2" w:rsidRPr="00456D14" w:rsidRDefault="00DB0AA3" w:rsidP="00456D14">
      <w:pPr>
        <w:pStyle w:val="2"/>
        <w:spacing w:before="0" w:line="360" w:lineRule="auto"/>
        <w:rPr>
          <w:b/>
        </w:rPr>
      </w:pPr>
      <w:bookmarkStart w:id="42" w:name="_Toc493323979"/>
      <w:r w:rsidRPr="00456D14">
        <w:rPr>
          <w:b/>
        </w:rPr>
        <w:t>1.5.3.2 Ειδική αξιολόγηση γεύσης</w:t>
      </w:r>
      <w:bookmarkEnd w:id="42"/>
    </w:p>
    <w:p w14:paraId="386961ED" w14:textId="77777777" w:rsidR="00146CE2" w:rsidRPr="00BF0161" w:rsidRDefault="00DB0AA3">
      <w:pPr>
        <w:spacing w:after="120" w:line="360" w:lineRule="auto"/>
        <w:jc w:val="both"/>
        <w:rPr>
          <w:lang w:val="el-GR"/>
        </w:rPr>
      </w:pPr>
      <w:r w:rsidRPr="00BF0161">
        <w:rPr>
          <w:lang w:val="el-GR"/>
        </w:rPr>
        <w:t xml:space="preserve">Η αξιολόγηση της γεύσης πραγματοποιείται σε περιπτώσεις, όπου οι διαταραχές της είναι κύρια προβλήματα της δυσφαγίας. Για τη διεξαγωγή της διαδικασίας αξιολόγησης χρησιμοποιούνται τα εξής υλικά: αλάτι, ζάχαρη, ξύδι, λεμόνι, γάζες και τέσσερις κάρτες που αντιστοιχούν στις τέσσερις γεύσεις- αλμυρό, γλυκό, ξινό, πικρό. Ο εξεταζόμενος έχει τη γλώσσα σε </w:t>
      </w:r>
      <w:r w:rsidRPr="00BF0161">
        <w:rPr>
          <w:lang w:val="el-GR"/>
        </w:rPr>
        <w:lastRenderedPageBreak/>
        <w:t xml:space="preserve">εξωθημένη θέση και ο θεραπευτής με μία γάζα τοποθετεί στην γλώσσα, </w:t>
      </w:r>
      <w:proofErr w:type="spellStart"/>
      <w:r w:rsidRPr="00BF0161">
        <w:rPr>
          <w:lang w:val="el-GR"/>
        </w:rPr>
        <w:t>αμφοτερόπλευρα</w:t>
      </w:r>
      <w:proofErr w:type="spellEnd"/>
      <w:r w:rsidRPr="00BF0161">
        <w:rPr>
          <w:lang w:val="el-GR"/>
        </w:rPr>
        <w:t xml:space="preserve">, τα παραπάνω συστατικά σε μια μικρή ποσότητα. Ο εξεταζόμενος καλείται να αναγνωρίσει την κάθε γεύση και να την ταυτίσει με την κατάλληλη κάρτα. Με την λήξη της αξιολόγησης ίσως παρατηρηθεί απώλεια γεύσεων (Μεσσήνης &amp; Αντωνιάδης, 2010). </w:t>
      </w:r>
    </w:p>
    <w:p w14:paraId="3DDE96E4" w14:textId="77777777" w:rsidR="005D0950" w:rsidRPr="00BF0161" w:rsidRDefault="005D0950">
      <w:pPr>
        <w:spacing w:after="120" w:line="360" w:lineRule="auto"/>
        <w:jc w:val="both"/>
        <w:rPr>
          <w:b/>
          <w:lang w:val="el-GR"/>
        </w:rPr>
      </w:pPr>
    </w:p>
    <w:p w14:paraId="1F4F81D8" w14:textId="77777777" w:rsidR="00146CE2" w:rsidRPr="00456D14" w:rsidRDefault="00DB0AA3" w:rsidP="00456D14">
      <w:pPr>
        <w:pStyle w:val="2"/>
        <w:spacing w:before="0" w:line="360" w:lineRule="auto"/>
        <w:rPr>
          <w:b/>
        </w:rPr>
      </w:pPr>
      <w:bookmarkStart w:id="43" w:name="_Toc493323980"/>
      <w:r w:rsidRPr="00456D14">
        <w:rPr>
          <w:b/>
        </w:rPr>
        <w:t>1.5.3.3 Ειδική αξιολόγηση κινητικής συμπεριφοράς των οργάνων</w:t>
      </w:r>
      <w:bookmarkEnd w:id="43"/>
    </w:p>
    <w:p w14:paraId="48350D37" w14:textId="77777777" w:rsidR="00146CE2" w:rsidRPr="00BF0161" w:rsidRDefault="00DB0AA3">
      <w:pPr>
        <w:spacing w:after="120" w:line="360" w:lineRule="auto"/>
        <w:jc w:val="both"/>
        <w:rPr>
          <w:lang w:val="el-GR"/>
        </w:rPr>
      </w:pPr>
      <w:r w:rsidRPr="00BF0161">
        <w:rPr>
          <w:lang w:val="el-GR"/>
        </w:rPr>
        <w:t xml:space="preserve">Η λογοθεραπευτική αξιολόγηση θα πρέπει να περιλαμβάνει δύο βασικά στοιχεία για την εκτίμηση </w:t>
      </w:r>
      <w:proofErr w:type="spellStart"/>
      <w:r w:rsidRPr="00BF0161">
        <w:rPr>
          <w:lang w:val="el-GR"/>
        </w:rPr>
        <w:t>στοματοκινητικών</w:t>
      </w:r>
      <w:proofErr w:type="spellEnd"/>
      <w:r w:rsidRPr="00BF0161">
        <w:rPr>
          <w:lang w:val="el-GR"/>
        </w:rPr>
        <w:t xml:space="preserve"> δομών του ατόμου, τα οποία είναι α) ο αντίκτυπος που έχει η στάση σώματος του ασθενή και β) η επίδραση του συγχρονισμού κατάποσης- αναπνοής. </w:t>
      </w:r>
    </w:p>
    <w:p w14:paraId="3648D757" w14:textId="77777777" w:rsidR="00146CE2" w:rsidRPr="00BF0161" w:rsidRDefault="00DB0AA3">
      <w:pPr>
        <w:spacing w:after="120" w:line="360" w:lineRule="auto"/>
        <w:jc w:val="both"/>
        <w:rPr>
          <w:lang w:val="el-GR"/>
        </w:rPr>
      </w:pPr>
      <w:r w:rsidRPr="00BF0161">
        <w:rPr>
          <w:lang w:val="el-GR"/>
        </w:rPr>
        <w:t>Στην ειδική αξιολόγηση κινητικής συμπεριφοράς των οργάνων εξετάζονται τα εξής: θέση κεφαλής, χείλη, γνάθος, γλώσσα, μαλθακή υπερώα και φωνητικές χορδές.</w:t>
      </w:r>
    </w:p>
    <w:p w14:paraId="2379EEB6" w14:textId="77777777" w:rsidR="00146CE2" w:rsidRDefault="00DB0AA3">
      <w:pPr>
        <w:pStyle w:val="a5"/>
        <w:numPr>
          <w:ilvl w:val="0"/>
          <w:numId w:val="9"/>
        </w:numPr>
        <w:spacing w:after="120" w:line="360" w:lineRule="auto"/>
        <w:jc w:val="both"/>
        <w:rPr>
          <w:rFonts w:ascii="Times New Roman" w:hAnsi="Times New Roman"/>
          <w:sz w:val="24"/>
        </w:rPr>
      </w:pPr>
      <w:r>
        <w:rPr>
          <w:rFonts w:ascii="Times New Roman" w:hAnsi="Times New Roman"/>
          <w:i/>
          <w:sz w:val="24"/>
          <w:szCs w:val="24"/>
        </w:rPr>
        <w:t xml:space="preserve">Θέση κεφαλής: </w:t>
      </w:r>
      <w:r>
        <w:rPr>
          <w:rFonts w:ascii="Times New Roman" w:hAnsi="Times New Roman"/>
          <w:sz w:val="24"/>
          <w:szCs w:val="24"/>
        </w:rPr>
        <w:t xml:space="preserve">Αξιολογείται η θέση κεφαλής κατά τη μάσηση και κατάποση. Αρχικά, παρατηρείται η θέση της κεφαλής, και έπειτα ο κλινικός με τα χέρια του πιέζει ελαφρά το μέτωπο του ασθενή, </w:t>
      </w:r>
      <w:r>
        <w:rPr>
          <w:rFonts w:ascii="Times New Roman" w:hAnsi="Times New Roman"/>
          <w:sz w:val="24"/>
          <w:szCs w:val="24"/>
        </w:rPr>
        <w:lastRenderedPageBreak/>
        <w:t xml:space="preserve">ζητώντας του να σπρώξει το κεφάλι του προς τα εμπρός </w:t>
      </w:r>
      <w:r>
        <w:rPr>
          <w:rFonts w:ascii="Times New Roman" w:hAnsi="Times New Roman"/>
          <w:sz w:val="24"/>
        </w:rPr>
        <w:t>(Μεσσήνης &amp; Αντωνιάδης, 2010).</w:t>
      </w:r>
    </w:p>
    <w:p w14:paraId="17C7883F" w14:textId="77777777" w:rsidR="00146CE2" w:rsidRDefault="00DB0AA3">
      <w:pPr>
        <w:pStyle w:val="a5"/>
        <w:numPr>
          <w:ilvl w:val="0"/>
          <w:numId w:val="9"/>
        </w:numPr>
        <w:spacing w:after="120" w:line="360" w:lineRule="auto"/>
        <w:jc w:val="both"/>
        <w:rPr>
          <w:rFonts w:ascii="Times New Roman" w:hAnsi="Times New Roman"/>
          <w:sz w:val="24"/>
        </w:rPr>
      </w:pPr>
      <w:r>
        <w:rPr>
          <w:rFonts w:ascii="Times New Roman" w:hAnsi="Times New Roman"/>
          <w:i/>
          <w:sz w:val="24"/>
          <w:szCs w:val="24"/>
        </w:rPr>
        <w:t xml:space="preserve">Χείλη: </w:t>
      </w:r>
      <w:r>
        <w:rPr>
          <w:rFonts w:ascii="Times New Roman" w:hAnsi="Times New Roman"/>
          <w:sz w:val="24"/>
          <w:szCs w:val="24"/>
        </w:rPr>
        <w:t>Αρχικά παρατηρείται η θέση των χειλιών σε ηρεμία και ο κλινικός καταγράφει εάν υπάρχει μονόπλευρη αδυναμία ή/και σιελόρροια. Στη συνέχεια, ο λογοθεραπευτής προσπαθεί να κλείσει και να ανοίξει τα χείλη του ασθενή, ενώ εκείνος θα πρέπει να τα κρατά ανοιχτά και κλειστά αντίστοιχα. Έπειτα, ζητείται από τον ασθενή να σουφρώσει τα χείλη και να χαμογελάσει εναλλάξ για πέντε δευτερόλεπτα. Καταγράφονται στοιχεία σχετικά με την ταχύτητα και την έκτασ</w:t>
      </w:r>
      <w:r w:rsidR="00FD4D55">
        <w:rPr>
          <w:rFonts w:ascii="Times New Roman" w:hAnsi="Times New Roman"/>
          <w:sz w:val="24"/>
          <w:szCs w:val="24"/>
        </w:rPr>
        <w:t>η της κίνησης. Τέλος, του δίνεται</w:t>
      </w:r>
      <w:r>
        <w:rPr>
          <w:rFonts w:ascii="Times New Roman" w:hAnsi="Times New Roman"/>
          <w:sz w:val="24"/>
          <w:szCs w:val="24"/>
        </w:rPr>
        <w:t xml:space="preserve"> ένα καλαμάκι και ένα κουταλάκι, για να διαπιστωθεί εάν μπορεί  να τραφεί </w:t>
      </w:r>
      <w:r>
        <w:rPr>
          <w:rFonts w:ascii="Times New Roman" w:hAnsi="Times New Roman"/>
          <w:sz w:val="24"/>
        </w:rPr>
        <w:t>(Μεσσήνης &amp; Αντωνιάδης, 2010).</w:t>
      </w:r>
    </w:p>
    <w:p w14:paraId="5CC2A157" w14:textId="77777777" w:rsidR="00146CE2" w:rsidRDefault="00DB0AA3" w:rsidP="00886532">
      <w:pPr>
        <w:pStyle w:val="a5"/>
        <w:numPr>
          <w:ilvl w:val="0"/>
          <w:numId w:val="9"/>
        </w:numPr>
        <w:spacing w:after="120" w:line="360" w:lineRule="auto"/>
        <w:jc w:val="both"/>
        <w:rPr>
          <w:rFonts w:ascii="Times New Roman" w:hAnsi="Times New Roman"/>
          <w:sz w:val="24"/>
        </w:rPr>
      </w:pPr>
      <w:r>
        <w:rPr>
          <w:rFonts w:ascii="Times New Roman" w:hAnsi="Times New Roman"/>
          <w:i/>
          <w:sz w:val="24"/>
          <w:szCs w:val="24"/>
        </w:rPr>
        <w:t xml:space="preserve">Γνάθος: </w:t>
      </w:r>
      <w:r>
        <w:rPr>
          <w:rFonts w:ascii="Times New Roman" w:hAnsi="Times New Roman"/>
          <w:sz w:val="24"/>
          <w:szCs w:val="24"/>
        </w:rPr>
        <w:t xml:space="preserve">Αρχικά, παρατηρείται </w:t>
      </w:r>
      <w:r w:rsidR="00C2485B">
        <w:rPr>
          <w:rFonts w:ascii="Times New Roman" w:hAnsi="Times New Roman"/>
          <w:sz w:val="24"/>
          <w:szCs w:val="24"/>
        </w:rPr>
        <w:t>η</w:t>
      </w:r>
      <w:r>
        <w:rPr>
          <w:rFonts w:ascii="Times New Roman" w:hAnsi="Times New Roman"/>
          <w:sz w:val="24"/>
          <w:szCs w:val="24"/>
        </w:rPr>
        <w:t xml:space="preserve"> σιαγόνα σε ηρεμία και ζητείται από τον ασθενή να ανοιγοκλείσει το στόμα</w:t>
      </w:r>
      <w:r w:rsidR="00886532">
        <w:rPr>
          <w:rFonts w:ascii="Times New Roman" w:hAnsi="Times New Roman"/>
          <w:sz w:val="24"/>
          <w:szCs w:val="24"/>
        </w:rPr>
        <w:t xml:space="preserve"> (</w:t>
      </w:r>
      <w:proofErr w:type="spellStart"/>
      <w:r w:rsidR="00886532">
        <w:rPr>
          <w:rFonts w:ascii="Times New Roman" w:hAnsi="Times New Roman"/>
          <w:sz w:val="24"/>
          <w:szCs w:val="24"/>
        </w:rPr>
        <w:t>Καμπανάρου</w:t>
      </w:r>
      <w:proofErr w:type="spellEnd"/>
      <w:r w:rsidR="00886532">
        <w:rPr>
          <w:rFonts w:ascii="Times New Roman" w:hAnsi="Times New Roman"/>
          <w:sz w:val="24"/>
          <w:szCs w:val="24"/>
        </w:rPr>
        <w:t xml:space="preserve"> 2007</w:t>
      </w:r>
      <w:r w:rsidR="00886532" w:rsidRPr="00886532">
        <w:rPr>
          <w:rFonts w:ascii="Times New Roman" w:hAnsi="Times New Roman"/>
          <w:sz w:val="24"/>
          <w:szCs w:val="24"/>
        </w:rPr>
        <w:t>;</w:t>
      </w:r>
      <w:r w:rsidR="00886532" w:rsidRPr="00886532">
        <w:t xml:space="preserve"> </w:t>
      </w:r>
      <w:proofErr w:type="spellStart"/>
      <w:r w:rsidR="00886532" w:rsidRPr="00886532">
        <w:rPr>
          <w:rFonts w:ascii="Times New Roman" w:hAnsi="Times New Roman"/>
          <w:sz w:val="24"/>
          <w:szCs w:val="24"/>
        </w:rPr>
        <w:t>Murry</w:t>
      </w:r>
      <w:proofErr w:type="spellEnd"/>
      <w:r w:rsidR="00886532" w:rsidRPr="00886532">
        <w:rPr>
          <w:rFonts w:ascii="Times New Roman" w:hAnsi="Times New Roman"/>
          <w:sz w:val="24"/>
          <w:szCs w:val="24"/>
        </w:rPr>
        <w:t xml:space="preserve"> &amp; </w:t>
      </w:r>
      <w:proofErr w:type="spellStart"/>
      <w:r w:rsidR="00886532" w:rsidRPr="00886532">
        <w:rPr>
          <w:rFonts w:ascii="Times New Roman" w:hAnsi="Times New Roman"/>
          <w:sz w:val="24"/>
          <w:szCs w:val="24"/>
        </w:rPr>
        <w:t>Carrau</w:t>
      </w:r>
      <w:proofErr w:type="spellEnd"/>
      <w:r w:rsidR="00886532" w:rsidRPr="00886532">
        <w:rPr>
          <w:rFonts w:ascii="Times New Roman" w:hAnsi="Times New Roman"/>
          <w:sz w:val="24"/>
          <w:szCs w:val="24"/>
        </w:rPr>
        <w:t>, 2014)</w:t>
      </w:r>
      <w:r>
        <w:rPr>
          <w:rFonts w:ascii="Times New Roman" w:hAnsi="Times New Roman"/>
          <w:sz w:val="24"/>
          <w:szCs w:val="24"/>
        </w:rPr>
        <w:t xml:space="preserve">. Καταγράφεται οποιαδήποτε αδυναμία σύγκλισης και αν το άνοιγμα του στόματος είναι υπερβολικό ή ελάχιστο. Στόχος είναι η διαπίστωση τυχόν αδυναμίας μάσησης και συγκράτησης φαγητού. Στη συνέχεια, δίνεται στον ασθενή να κρατήσει μια σπάτουλα ανάμεσα στα δόντια, αφού εκείνη απομακρυνθεί του </w:t>
      </w:r>
      <w:r>
        <w:rPr>
          <w:rFonts w:ascii="Times New Roman" w:hAnsi="Times New Roman"/>
          <w:sz w:val="24"/>
          <w:szCs w:val="24"/>
        </w:rPr>
        <w:lastRenderedPageBreak/>
        <w:t xml:space="preserve">ζητείται να ανοιγοκλείσει το στόμα απαλά και γρήγορα για 5 δευτερόλεπτα. Καταγράφεται η δυνατότητα εκτέλεσης των παραπάνω κινήσεων. Ζητείται από το άτομο να κινήσει το σαγόνι δεξιά και αριστερά, και καταγράφεται η </w:t>
      </w:r>
      <w:proofErr w:type="spellStart"/>
      <w:r>
        <w:rPr>
          <w:rFonts w:ascii="Times New Roman" w:hAnsi="Times New Roman"/>
          <w:sz w:val="24"/>
          <w:szCs w:val="24"/>
        </w:rPr>
        <w:t>φυσιολογικότητα</w:t>
      </w:r>
      <w:proofErr w:type="spellEnd"/>
      <w:r>
        <w:rPr>
          <w:rFonts w:ascii="Times New Roman" w:hAnsi="Times New Roman"/>
          <w:sz w:val="24"/>
          <w:szCs w:val="24"/>
        </w:rPr>
        <w:t xml:space="preserve"> της κίνησης </w:t>
      </w:r>
      <w:r>
        <w:rPr>
          <w:rFonts w:ascii="Times New Roman" w:hAnsi="Times New Roman"/>
          <w:sz w:val="24"/>
        </w:rPr>
        <w:t>(Μεσσήνης &amp; Αντωνιάδης, 2010).</w:t>
      </w:r>
    </w:p>
    <w:p w14:paraId="31B4793F" w14:textId="77777777" w:rsidR="00146CE2" w:rsidRDefault="00DB0AA3">
      <w:pPr>
        <w:pStyle w:val="a5"/>
        <w:numPr>
          <w:ilvl w:val="0"/>
          <w:numId w:val="9"/>
        </w:numPr>
        <w:spacing w:after="120" w:line="360" w:lineRule="auto"/>
        <w:jc w:val="both"/>
        <w:rPr>
          <w:rFonts w:ascii="Times New Roman" w:hAnsi="Times New Roman"/>
          <w:sz w:val="24"/>
          <w:szCs w:val="24"/>
        </w:rPr>
      </w:pPr>
      <w:r>
        <w:rPr>
          <w:rFonts w:ascii="Times New Roman" w:hAnsi="Times New Roman"/>
          <w:i/>
          <w:sz w:val="24"/>
          <w:szCs w:val="24"/>
        </w:rPr>
        <w:t>Γλώσσα</w:t>
      </w:r>
      <w:r>
        <w:rPr>
          <w:rFonts w:ascii="Times New Roman" w:hAnsi="Times New Roman"/>
          <w:sz w:val="24"/>
          <w:szCs w:val="24"/>
        </w:rPr>
        <w:t>: Αρχικά, ελέγχεται η κίνηση της γλώσσας, ζητώντας από τον ασθενή να την εξωθήσει , να την τραβήξει πίσω, να ακουμπήσει τα χείλη με την κορυφή της και να σηκώσει το πίσω μέρος της λέγοντας «</w:t>
      </w:r>
      <w:proofErr w:type="spellStart"/>
      <w:r>
        <w:rPr>
          <w:rFonts w:ascii="Times New Roman" w:hAnsi="Times New Roman"/>
          <w:sz w:val="24"/>
          <w:szCs w:val="24"/>
        </w:rPr>
        <w:t>κου-κου</w:t>
      </w:r>
      <w:proofErr w:type="spellEnd"/>
      <w:r>
        <w:rPr>
          <w:rFonts w:ascii="Times New Roman" w:hAnsi="Times New Roman"/>
          <w:sz w:val="24"/>
          <w:szCs w:val="24"/>
        </w:rPr>
        <w:t>». Έπειτα, ελέγχεται η έκτασή της, καθώς  ο ασθενής καθαρίζει τις αύλακες, την τεντώνει για ένα λεπτό και την χαλαρώνει, όσο μπορεί. Στη συνέχεια, καλείται να σπρώξει τα πτερύγια της προς τα πάνω, ενώ σε ηρεμία είναι επίπεδα, με αυτόν τον τρόπο ελέγχεται η αντίσταση της γλώσσας. Τέλος, εξετάζεται η συμμετρία της γλώσσας ακουμπώντας την άκρη της γλώσσας του στα δόντια κινώντας την από τα δεξιά στα αριστερά (</w:t>
      </w:r>
      <w:proofErr w:type="spellStart"/>
      <w:r>
        <w:rPr>
          <w:rFonts w:ascii="Times New Roman" w:hAnsi="Times New Roman"/>
          <w:sz w:val="24"/>
          <w:szCs w:val="24"/>
        </w:rPr>
        <w:t>Πρώιου</w:t>
      </w:r>
      <w:proofErr w:type="spellEnd"/>
      <w:r>
        <w:rPr>
          <w:rFonts w:ascii="Times New Roman" w:hAnsi="Times New Roman"/>
          <w:sz w:val="24"/>
          <w:szCs w:val="24"/>
        </w:rPr>
        <w:t>, 2003)</w:t>
      </w:r>
    </w:p>
    <w:p w14:paraId="739C3C47" w14:textId="77777777" w:rsidR="00146CE2" w:rsidRDefault="00DB0AA3" w:rsidP="00414BE0">
      <w:pPr>
        <w:pStyle w:val="a5"/>
        <w:numPr>
          <w:ilvl w:val="0"/>
          <w:numId w:val="9"/>
        </w:numPr>
        <w:spacing w:after="120" w:line="360" w:lineRule="auto"/>
        <w:jc w:val="both"/>
        <w:rPr>
          <w:rFonts w:ascii="Times New Roman" w:hAnsi="Times New Roman"/>
          <w:sz w:val="24"/>
        </w:rPr>
      </w:pPr>
      <w:r>
        <w:rPr>
          <w:rFonts w:ascii="Times New Roman" w:hAnsi="Times New Roman"/>
          <w:i/>
          <w:sz w:val="24"/>
          <w:szCs w:val="24"/>
        </w:rPr>
        <w:t>Μαλθακή υπερώα</w:t>
      </w:r>
      <w:r>
        <w:rPr>
          <w:rFonts w:ascii="Times New Roman" w:hAnsi="Times New Roman"/>
          <w:sz w:val="24"/>
          <w:szCs w:val="24"/>
        </w:rPr>
        <w:t xml:space="preserve">: Αρχικά, παρατηρείται η μαλθακή υπερώα, καταγράφοντας οποιαδήποτε απόκλιση ή αδυναμία. Εν συνεχεία, παρατηρείται η ύπαρξη υπό ή </w:t>
      </w:r>
      <w:proofErr w:type="spellStart"/>
      <w:r>
        <w:rPr>
          <w:rFonts w:ascii="Times New Roman" w:hAnsi="Times New Roman"/>
          <w:sz w:val="24"/>
          <w:szCs w:val="24"/>
        </w:rPr>
        <w:t>υπερινικότητας</w:t>
      </w:r>
      <w:proofErr w:type="spellEnd"/>
      <w:r>
        <w:rPr>
          <w:rFonts w:ascii="Times New Roman" w:hAnsi="Times New Roman"/>
          <w:sz w:val="24"/>
          <w:szCs w:val="24"/>
        </w:rPr>
        <w:t xml:space="preserve"> κατά την παραγωγή ομιλίας. Εάν διαπιστωθεί οτιδήποτε που αφορά τον ήχο, </w:t>
      </w:r>
      <w:r>
        <w:rPr>
          <w:rFonts w:ascii="Times New Roman" w:hAnsi="Times New Roman"/>
          <w:sz w:val="24"/>
          <w:szCs w:val="24"/>
        </w:rPr>
        <w:lastRenderedPageBreak/>
        <w:t xml:space="preserve">πραγματοποιείται αξιολόγηση για δυσαρθρία. Στόχος είναι ο συγχρονισμός της υπερώας με τις υπόλοιπες δομές για το κλείσιμο του ρινοφάρυγγα. Έπειτα ζητείται από τον εξεταζόμενο να φυσήξει αέρα από το στόμα για δύο ή τρία δευτερόλεπτα και ο κλινικός χρησιμοποιώντας την παλάμη του ελέγχει την έντασή του. Στο σημείο αυτό καταγράφεται η πιθανή ύπαρξη διαφυγής αέρα από τη μύτη </w:t>
      </w:r>
      <w:r>
        <w:rPr>
          <w:rFonts w:ascii="Times New Roman" w:hAnsi="Times New Roman"/>
          <w:sz w:val="24"/>
        </w:rPr>
        <w:t>(Μεσσήνης &amp; Αντωνιάδης, 2010). Για την εξέταση της ανύψωσης της μαλθακής υπερώας και της κινητικότητας των γύρω τοιχωμάτων, ζητείται από τον ασθενή να παράγει τον ήχο /</w:t>
      </w:r>
      <w:r>
        <w:rPr>
          <w:rFonts w:ascii="Times New Roman" w:hAnsi="Times New Roman"/>
          <w:sz w:val="24"/>
          <w:lang w:val="en-US"/>
        </w:rPr>
        <w:t>a</w:t>
      </w:r>
      <w:r>
        <w:rPr>
          <w:rFonts w:ascii="Times New Roman" w:hAnsi="Times New Roman"/>
          <w:sz w:val="24"/>
        </w:rPr>
        <w:t>/ και να τον διατηρήσει για μερικά δευτερόλεπτα (</w:t>
      </w:r>
      <w:proofErr w:type="spellStart"/>
      <w:r>
        <w:rPr>
          <w:rFonts w:ascii="Times New Roman" w:hAnsi="Times New Roman"/>
          <w:sz w:val="24"/>
          <w:lang w:val="en-US"/>
        </w:rPr>
        <w:t>Logemann</w:t>
      </w:r>
      <w:proofErr w:type="spellEnd"/>
      <w:r>
        <w:rPr>
          <w:rFonts w:ascii="Times New Roman" w:hAnsi="Times New Roman"/>
          <w:sz w:val="24"/>
        </w:rPr>
        <w:t>, 1998</w:t>
      </w:r>
      <w:r w:rsidR="00414BE0" w:rsidRPr="00414BE0">
        <w:rPr>
          <w:rFonts w:ascii="Times New Roman" w:hAnsi="Times New Roman"/>
          <w:sz w:val="24"/>
        </w:rPr>
        <w:t>;</w:t>
      </w:r>
      <w:r w:rsidR="00414BE0" w:rsidRPr="00414BE0">
        <w:t xml:space="preserve"> </w:t>
      </w:r>
      <w:proofErr w:type="spellStart"/>
      <w:r w:rsidR="00414BE0" w:rsidRPr="00414BE0">
        <w:rPr>
          <w:rFonts w:ascii="Times New Roman" w:hAnsi="Times New Roman"/>
          <w:sz w:val="24"/>
        </w:rPr>
        <w:t>Murry</w:t>
      </w:r>
      <w:proofErr w:type="spellEnd"/>
      <w:r w:rsidR="00414BE0" w:rsidRPr="00414BE0">
        <w:rPr>
          <w:rFonts w:ascii="Times New Roman" w:hAnsi="Times New Roman"/>
          <w:sz w:val="24"/>
        </w:rPr>
        <w:t xml:space="preserve"> &amp; </w:t>
      </w:r>
      <w:proofErr w:type="spellStart"/>
      <w:r w:rsidR="00414BE0" w:rsidRPr="00414BE0">
        <w:rPr>
          <w:rFonts w:ascii="Times New Roman" w:hAnsi="Times New Roman"/>
          <w:sz w:val="24"/>
        </w:rPr>
        <w:t>Carrau</w:t>
      </w:r>
      <w:proofErr w:type="spellEnd"/>
      <w:r w:rsidR="00414BE0" w:rsidRPr="00414BE0">
        <w:rPr>
          <w:rFonts w:ascii="Times New Roman" w:hAnsi="Times New Roman"/>
          <w:sz w:val="24"/>
        </w:rPr>
        <w:t xml:space="preserve">, 2014; </w:t>
      </w:r>
      <w:proofErr w:type="spellStart"/>
      <w:r w:rsidR="00414BE0">
        <w:rPr>
          <w:rFonts w:ascii="Times New Roman" w:hAnsi="Times New Roman"/>
          <w:sz w:val="24"/>
        </w:rPr>
        <w:t>Καμπανάρου</w:t>
      </w:r>
      <w:proofErr w:type="spellEnd"/>
      <w:r w:rsidR="00414BE0">
        <w:rPr>
          <w:rFonts w:ascii="Times New Roman" w:hAnsi="Times New Roman"/>
          <w:sz w:val="24"/>
        </w:rPr>
        <w:t>, 2007</w:t>
      </w:r>
      <w:r w:rsidR="00414BE0" w:rsidRPr="00414BE0">
        <w:rPr>
          <w:rFonts w:ascii="Times New Roman" w:hAnsi="Times New Roman"/>
          <w:sz w:val="24"/>
        </w:rPr>
        <w:t xml:space="preserve"> </w:t>
      </w:r>
      <w:r>
        <w:rPr>
          <w:rFonts w:ascii="Times New Roman" w:hAnsi="Times New Roman"/>
          <w:sz w:val="24"/>
        </w:rPr>
        <w:t>).</w:t>
      </w:r>
    </w:p>
    <w:p w14:paraId="4BC15A31" w14:textId="77777777" w:rsidR="00146CE2" w:rsidRDefault="00DB0AA3">
      <w:pPr>
        <w:pStyle w:val="a5"/>
        <w:numPr>
          <w:ilvl w:val="0"/>
          <w:numId w:val="9"/>
        </w:numPr>
        <w:spacing w:after="120" w:line="360" w:lineRule="auto"/>
        <w:jc w:val="both"/>
        <w:rPr>
          <w:rFonts w:ascii="Times New Roman" w:hAnsi="Times New Roman"/>
          <w:sz w:val="24"/>
        </w:rPr>
      </w:pPr>
      <w:r>
        <w:rPr>
          <w:rFonts w:ascii="Times New Roman" w:hAnsi="Times New Roman"/>
          <w:i/>
          <w:sz w:val="24"/>
          <w:szCs w:val="24"/>
        </w:rPr>
        <w:t>Φωνητικές χορδές</w:t>
      </w:r>
      <w:r>
        <w:rPr>
          <w:rFonts w:ascii="Times New Roman" w:hAnsi="Times New Roman"/>
          <w:sz w:val="24"/>
        </w:rPr>
        <w:t xml:space="preserve">: Πρώτα, παρατηρείται η χροιά της φωνής του ατόμου σημειώνοντας οποιαδήποτε επιρροή από εξωγενείς παράγοντες. Στόχος είναι να διαπιστωθεί η σύγκλιση των φωνητικών χορδών κατά τη διαδικασία της κατάποσης, καθώς η μη σύγκλιση μπορεί να αποτελεί κίνδυνο για την ασφάλεια των </w:t>
      </w:r>
      <w:proofErr w:type="spellStart"/>
      <w:r>
        <w:rPr>
          <w:rFonts w:ascii="Times New Roman" w:hAnsi="Times New Roman"/>
          <w:sz w:val="24"/>
        </w:rPr>
        <w:t>υπογλωττιδικών</w:t>
      </w:r>
      <w:proofErr w:type="spellEnd"/>
      <w:r>
        <w:rPr>
          <w:rFonts w:ascii="Times New Roman" w:hAnsi="Times New Roman"/>
          <w:sz w:val="24"/>
        </w:rPr>
        <w:t xml:space="preserve"> περιοχών. Ακολούθως, ζητείται από τον ασθενή να βήξει. Σε περίπτωση αδυναμίας επιτέλεσης της ενέργειας αυτής, ο κλινικός του παρέχει βοήθεια ασκώντας ελαφρά πίεση στο διάφραγμα, ενώ ο </w:t>
      </w:r>
      <w:r>
        <w:rPr>
          <w:rFonts w:ascii="Times New Roman" w:hAnsi="Times New Roman"/>
          <w:sz w:val="24"/>
        </w:rPr>
        <w:lastRenderedPageBreak/>
        <w:t>ασθενής προσπαθεί να βήξει. Καταγράφεται κάθε αποτυχημένη προσπάθεια, όπως επίσης και η επίδοση του εξεταζόμενου μετά την παροχή βοήθειας από τον κλινικό. Επιπλέον, σημειώνεται η ύπαρξη αυτόματης κατάποσης μετά τον βήχα. Η αδυναμία υλοποίησης εκούσιου βήχα αποτελεί σημάδι λαρυγγικής διαταραχής με αποτέλεσμα τη μη προστασία των αεραγωγών. Ωστόσο, αξίζει να τονισθεί, πως ακόμα και η ύπαρξη αντανακλαστικού του βήχα δεν είναι σίγουρο ότι θα εκλυθεί σε περίπτωση αναγωγής (Μεσσήνης &amp; Αντωνιάδης, 2010).</w:t>
      </w:r>
    </w:p>
    <w:p w14:paraId="53ADE0F1" w14:textId="77777777" w:rsidR="005D0950" w:rsidRPr="00456D14" w:rsidRDefault="005D0950" w:rsidP="00456D14">
      <w:pPr>
        <w:pStyle w:val="2"/>
        <w:spacing w:before="0" w:line="360" w:lineRule="auto"/>
        <w:rPr>
          <w:b/>
        </w:rPr>
      </w:pPr>
    </w:p>
    <w:p w14:paraId="509B60E8" w14:textId="77777777" w:rsidR="00146CE2" w:rsidRPr="00456D14" w:rsidRDefault="00DB0AA3" w:rsidP="00456D14">
      <w:pPr>
        <w:pStyle w:val="2"/>
        <w:spacing w:before="0" w:line="360" w:lineRule="auto"/>
        <w:rPr>
          <w:b/>
        </w:rPr>
      </w:pPr>
      <w:bookmarkStart w:id="44" w:name="_Toc493323981"/>
      <w:r w:rsidRPr="00456D14">
        <w:rPr>
          <w:b/>
        </w:rPr>
        <w:t>1.5.3.4 Ειδική αξιολόγηση διαταραχών στοματικού σταδίου</w:t>
      </w:r>
      <w:bookmarkEnd w:id="44"/>
    </w:p>
    <w:p w14:paraId="73E17893" w14:textId="77777777" w:rsidR="00146CE2" w:rsidRPr="00BF0161" w:rsidRDefault="00DB0AA3">
      <w:pPr>
        <w:spacing w:after="120" w:line="360" w:lineRule="auto"/>
        <w:jc w:val="both"/>
        <w:rPr>
          <w:lang w:val="el-GR"/>
        </w:rPr>
      </w:pPr>
      <w:r w:rsidRPr="00BF0161">
        <w:rPr>
          <w:lang w:val="el-GR"/>
        </w:rPr>
        <w:t xml:space="preserve">Ο ασθενής κάθεται με όρθια τη σπονδυλική στήλη και του δίνονται τα εξής υλικά: </w:t>
      </w:r>
    </w:p>
    <w:p w14:paraId="2BDB8681" w14:textId="77777777" w:rsidR="00146CE2" w:rsidRDefault="00DB0AA3">
      <w:pPr>
        <w:pStyle w:val="a5"/>
        <w:numPr>
          <w:ilvl w:val="0"/>
          <w:numId w:val="10"/>
        </w:numPr>
        <w:spacing w:after="120" w:line="360" w:lineRule="auto"/>
        <w:jc w:val="both"/>
        <w:rPr>
          <w:rFonts w:ascii="Times New Roman" w:hAnsi="Times New Roman"/>
          <w:sz w:val="24"/>
          <w:szCs w:val="24"/>
        </w:rPr>
      </w:pPr>
      <w:r>
        <w:rPr>
          <w:rFonts w:ascii="Times New Roman" w:hAnsi="Times New Roman"/>
          <w:sz w:val="24"/>
          <w:szCs w:val="24"/>
        </w:rPr>
        <w:t>μια κούπα νερό</w:t>
      </w:r>
    </w:p>
    <w:p w14:paraId="1FC3DA4F" w14:textId="77777777" w:rsidR="00146CE2" w:rsidRDefault="00DB0AA3">
      <w:pPr>
        <w:pStyle w:val="a5"/>
        <w:numPr>
          <w:ilvl w:val="0"/>
          <w:numId w:val="10"/>
        </w:numPr>
        <w:spacing w:after="120" w:line="360" w:lineRule="auto"/>
        <w:jc w:val="both"/>
        <w:rPr>
          <w:rFonts w:ascii="Times New Roman" w:hAnsi="Times New Roman"/>
          <w:sz w:val="24"/>
          <w:szCs w:val="24"/>
        </w:rPr>
      </w:pPr>
      <w:r>
        <w:rPr>
          <w:rFonts w:ascii="Times New Roman" w:hAnsi="Times New Roman"/>
          <w:sz w:val="24"/>
          <w:szCs w:val="24"/>
        </w:rPr>
        <w:t>γιαούρτι</w:t>
      </w:r>
    </w:p>
    <w:p w14:paraId="379ABB34" w14:textId="77777777" w:rsidR="00146CE2" w:rsidRDefault="00DB0AA3">
      <w:pPr>
        <w:pStyle w:val="a5"/>
        <w:numPr>
          <w:ilvl w:val="0"/>
          <w:numId w:val="10"/>
        </w:numPr>
        <w:spacing w:after="120" w:line="360" w:lineRule="auto"/>
        <w:jc w:val="both"/>
        <w:rPr>
          <w:rFonts w:ascii="Times New Roman" w:hAnsi="Times New Roman"/>
          <w:sz w:val="24"/>
          <w:szCs w:val="24"/>
        </w:rPr>
      </w:pPr>
      <w:r>
        <w:rPr>
          <w:rFonts w:ascii="Times New Roman" w:hAnsi="Times New Roman"/>
          <w:sz w:val="24"/>
          <w:szCs w:val="24"/>
        </w:rPr>
        <w:t>μία τροφή μαλακής σύστασης (π.χ. μπανάνα)</w:t>
      </w:r>
    </w:p>
    <w:p w14:paraId="460C7DB3" w14:textId="77777777" w:rsidR="00146CE2" w:rsidRPr="00BF0161" w:rsidRDefault="00DB0AA3">
      <w:pPr>
        <w:spacing w:after="120" w:line="360" w:lineRule="auto"/>
        <w:jc w:val="both"/>
        <w:rPr>
          <w:lang w:val="el-GR"/>
        </w:rPr>
      </w:pPr>
      <w:r w:rsidRPr="00BF0161">
        <w:rPr>
          <w:lang w:val="el-GR"/>
        </w:rPr>
        <w:lastRenderedPageBreak/>
        <w:t xml:space="preserve">Εν συνεχεία ο ασθενής καλείται να δοκιμάσει και τα τρία υλικά και παράλληλα γίνεται καταγραφή των επιδόσεών του. Μετά το πέρας των πρώτων προσπαθειών η διαδικασία τροποποιείται, ώστε να εξεταστούν οι παρακάτω επιδράσεις: </w:t>
      </w:r>
    </w:p>
    <w:p w14:paraId="683F24A0" w14:textId="77777777" w:rsidR="00146CE2" w:rsidRDefault="00DB0AA3">
      <w:pPr>
        <w:pStyle w:val="a5"/>
        <w:numPr>
          <w:ilvl w:val="0"/>
          <w:numId w:val="11"/>
        </w:numPr>
        <w:spacing w:after="120" w:line="360" w:lineRule="auto"/>
        <w:jc w:val="both"/>
        <w:rPr>
          <w:rFonts w:ascii="Times New Roman" w:hAnsi="Times New Roman"/>
          <w:sz w:val="24"/>
          <w:szCs w:val="24"/>
        </w:rPr>
      </w:pPr>
      <w:r>
        <w:rPr>
          <w:rFonts w:ascii="Times New Roman" w:hAnsi="Times New Roman"/>
          <w:sz w:val="24"/>
          <w:szCs w:val="24"/>
        </w:rPr>
        <w:t>βελτίωση καθιστής θέσης</w:t>
      </w:r>
    </w:p>
    <w:p w14:paraId="596CFDD8" w14:textId="77777777" w:rsidR="00146CE2" w:rsidRDefault="00DB0AA3">
      <w:pPr>
        <w:pStyle w:val="a5"/>
        <w:numPr>
          <w:ilvl w:val="0"/>
          <w:numId w:val="11"/>
        </w:numPr>
        <w:spacing w:after="120" w:line="360" w:lineRule="auto"/>
        <w:jc w:val="both"/>
        <w:rPr>
          <w:rFonts w:ascii="Times New Roman" w:hAnsi="Times New Roman"/>
          <w:sz w:val="24"/>
          <w:szCs w:val="24"/>
        </w:rPr>
      </w:pPr>
      <w:r>
        <w:rPr>
          <w:rFonts w:ascii="Times New Roman" w:hAnsi="Times New Roman"/>
          <w:sz w:val="24"/>
          <w:szCs w:val="24"/>
        </w:rPr>
        <w:t>βελτίωση θέσης κεφαλής</w:t>
      </w:r>
    </w:p>
    <w:p w14:paraId="45531AA4" w14:textId="77777777" w:rsidR="00146CE2" w:rsidRDefault="00DB0AA3">
      <w:pPr>
        <w:pStyle w:val="a5"/>
        <w:numPr>
          <w:ilvl w:val="0"/>
          <w:numId w:val="11"/>
        </w:numPr>
        <w:spacing w:after="120" w:line="360" w:lineRule="auto"/>
        <w:jc w:val="both"/>
        <w:rPr>
          <w:rFonts w:ascii="Times New Roman" w:hAnsi="Times New Roman"/>
          <w:sz w:val="24"/>
          <w:szCs w:val="24"/>
        </w:rPr>
      </w:pPr>
      <w:r>
        <w:rPr>
          <w:rFonts w:ascii="Times New Roman" w:hAnsi="Times New Roman"/>
          <w:sz w:val="24"/>
          <w:szCs w:val="24"/>
        </w:rPr>
        <w:t>κατάποση νερού από ποτήρι</w:t>
      </w:r>
    </w:p>
    <w:p w14:paraId="2031D0E2" w14:textId="77777777" w:rsidR="00146CE2" w:rsidRPr="00BF0161" w:rsidRDefault="00DB0AA3">
      <w:pPr>
        <w:spacing w:after="120" w:line="360" w:lineRule="auto"/>
        <w:jc w:val="both"/>
        <w:rPr>
          <w:lang w:val="el-GR"/>
        </w:rPr>
      </w:pPr>
      <w:r w:rsidRPr="00BF0161">
        <w:rPr>
          <w:lang w:val="el-GR"/>
        </w:rPr>
        <w:t>Τέλος, ελέγχουμε την πιθανή  ύπαρξη υπολειμμάτων στο στόμα (Μεσσήνης &amp; Αντωνιάδης, 2010).</w:t>
      </w:r>
    </w:p>
    <w:p w14:paraId="322736A2" w14:textId="77777777" w:rsidR="005D0950" w:rsidRPr="00BF0161" w:rsidRDefault="005D0950">
      <w:pPr>
        <w:spacing w:after="120" w:line="360" w:lineRule="auto"/>
        <w:jc w:val="both"/>
        <w:rPr>
          <w:b/>
          <w:lang w:val="el-GR"/>
        </w:rPr>
      </w:pPr>
    </w:p>
    <w:p w14:paraId="2567B819" w14:textId="77777777" w:rsidR="00146CE2" w:rsidRPr="00456D14" w:rsidRDefault="00DB0AA3" w:rsidP="00456D14">
      <w:pPr>
        <w:pStyle w:val="2"/>
        <w:spacing w:before="0" w:line="360" w:lineRule="auto"/>
        <w:rPr>
          <w:b/>
        </w:rPr>
      </w:pPr>
      <w:bookmarkStart w:id="45" w:name="_Toc493323982"/>
      <w:r w:rsidRPr="00456D14">
        <w:rPr>
          <w:b/>
        </w:rPr>
        <w:t>1.5.3.5 Ειδική αξιολόγηση διαταραχών φαρυγγικού σταδίου</w:t>
      </w:r>
      <w:bookmarkEnd w:id="45"/>
    </w:p>
    <w:p w14:paraId="16E74F73" w14:textId="77777777" w:rsidR="000E47F6" w:rsidRDefault="00DB0AA3">
      <w:pPr>
        <w:spacing w:after="120" w:line="360" w:lineRule="auto"/>
        <w:jc w:val="both"/>
        <w:rPr>
          <w:lang w:val="el-GR"/>
        </w:rPr>
      </w:pPr>
      <w:r w:rsidRPr="00BF0161">
        <w:rPr>
          <w:lang w:val="el-GR"/>
        </w:rPr>
        <w:t xml:space="preserve">Υπάρχουν δύο τρόποι αξιολόγησης του φαρυγγικού σταδίου, με </w:t>
      </w:r>
      <w:proofErr w:type="spellStart"/>
      <w:r w:rsidRPr="00BF0161">
        <w:rPr>
          <w:lang w:val="el-GR"/>
        </w:rPr>
        <w:t>βιντεοφθορο</w:t>
      </w:r>
      <w:r w:rsidR="00950F26">
        <w:rPr>
          <w:lang w:val="el-GR"/>
        </w:rPr>
        <w:t>σκόπηση</w:t>
      </w:r>
      <w:proofErr w:type="spellEnd"/>
      <w:r w:rsidR="00950F26">
        <w:rPr>
          <w:lang w:val="el-GR"/>
        </w:rPr>
        <w:t xml:space="preserve"> (βλέπε σελ. 30</w:t>
      </w:r>
    </w:p>
    <w:p w14:paraId="170E695B" w14:textId="0C6196EA" w:rsidR="00146CE2" w:rsidRPr="00BF0161" w:rsidRDefault="00DB0AA3">
      <w:pPr>
        <w:spacing w:after="120" w:line="360" w:lineRule="auto"/>
        <w:jc w:val="both"/>
        <w:rPr>
          <w:lang w:val="el-GR"/>
        </w:rPr>
      </w:pPr>
      <w:r w:rsidRPr="00BF0161">
        <w:rPr>
          <w:lang w:val="el-GR"/>
        </w:rPr>
        <w:t xml:space="preserve">) και μέσω της αφής. Ο απτικός τρόπος πραγματοποιείται με την τοποθέτηση των δακτύλων σε συγκεκριμένα σημεία στην επιφάνεια των μηχανισμών κατάποσης. Τα σημεία αυτά είναι κάτω από το σαγόνι, στην εντομή μεταξύ σαγονιού και λαιμού και στην αρχή και το τέλος του θυρεοειδούς χόνδρου. Αυτή η εξέταση καταγράφει </w:t>
      </w:r>
      <w:r w:rsidRPr="00BF0161">
        <w:rPr>
          <w:lang w:val="el-GR"/>
        </w:rPr>
        <w:lastRenderedPageBreak/>
        <w:t xml:space="preserve">τις συσπάσεις των υοειδών μυών, της οπίσθιας κίνησης της γλώσσας, τις προσπάθειες προσαγωγής των φωνητικών χορδών και την ανύψωση του λάρυγγα. Οι επαναλαμβανόμενες προσπάθειες υποδηλώνουν αδυναμία του ασθενή να ολοκληρώσει την κατάποση. Σε περίπτωση αδυναμίας επιτέλεσης της δοκιμασίας αυτής, το άτομο πρέπει να παραπεμφθεί για περαιτέρω αξιολόγηση, με σκοπό την ανίχνευση πιθανής αναγωγής. Να σημειωθεί ότι ο απτικός τρόπος παρέχει πολύ λιγότερες πληροφορίες απ’ ότι η </w:t>
      </w:r>
      <w:proofErr w:type="spellStart"/>
      <w:r w:rsidRPr="00BF0161">
        <w:rPr>
          <w:lang w:val="el-GR"/>
        </w:rPr>
        <w:t>βιντεοφθοροσκόπηση</w:t>
      </w:r>
      <w:proofErr w:type="spellEnd"/>
      <w:r w:rsidRPr="00BF0161">
        <w:rPr>
          <w:lang w:val="el-GR"/>
        </w:rPr>
        <w:t xml:space="preserve"> (Μεσσήνης &amp; Αντωνιάδης, 2010). </w:t>
      </w:r>
    </w:p>
    <w:p w14:paraId="1EEC8C78" w14:textId="77777777" w:rsidR="005D0950" w:rsidRPr="00BF0161" w:rsidRDefault="005D0950">
      <w:pPr>
        <w:spacing w:after="120" w:line="360" w:lineRule="auto"/>
        <w:jc w:val="both"/>
        <w:rPr>
          <w:b/>
          <w:lang w:val="el-GR"/>
        </w:rPr>
      </w:pPr>
    </w:p>
    <w:p w14:paraId="73D5AB36" w14:textId="77777777" w:rsidR="00146CE2" w:rsidRPr="00456D14" w:rsidRDefault="00DB0AA3" w:rsidP="00456D14">
      <w:pPr>
        <w:pStyle w:val="2"/>
        <w:spacing w:before="0" w:line="360" w:lineRule="auto"/>
        <w:rPr>
          <w:b/>
        </w:rPr>
      </w:pPr>
      <w:bookmarkStart w:id="46" w:name="_Toc493323983"/>
      <w:r w:rsidRPr="00456D14">
        <w:rPr>
          <w:b/>
        </w:rPr>
        <w:t>1.5.3.6  Ειδική αξιολόγηση λαρυγγικής λειτουργίας</w:t>
      </w:r>
      <w:bookmarkEnd w:id="46"/>
    </w:p>
    <w:p w14:paraId="67162BBA" w14:textId="77777777" w:rsidR="00146CE2" w:rsidRPr="00BF0161" w:rsidRDefault="00DB0AA3">
      <w:pPr>
        <w:spacing w:after="120" w:line="360" w:lineRule="auto"/>
        <w:jc w:val="both"/>
        <w:rPr>
          <w:lang w:val="el-GR"/>
        </w:rPr>
      </w:pPr>
      <w:r w:rsidRPr="00BF0161">
        <w:rPr>
          <w:lang w:val="el-GR"/>
        </w:rPr>
        <w:t>Για την αξιολόγηση της λαρυγγικής λειτουργίας εξετάζεται:</w:t>
      </w:r>
    </w:p>
    <w:p w14:paraId="58987B2D" w14:textId="77777777" w:rsidR="00146CE2" w:rsidRDefault="00DB0AA3">
      <w:pPr>
        <w:pStyle w:val="a5"/>
        <w:numPr>
          <w:ilvl w:val="0"/>
          <w:numId w:val="12"/>
        </w:numPr>
        <w:spacing w:after="120" w:line="360" w:lineRule="auto"/>
        <w:jc w:val="both"/>
        <w:rPr>
          <w:rFonts w:ascii="Times New Roman" w:hAnsi="Times New Roman"/>
          <w:sz w:val="24"/>
          <w:szCs w:val="24"/>
        </w:rPr>
      </w:pPr>
      <w:r>
        <w:rPr>
          <w:rFonts w:ascii="Times New Roman" w:hAnsi="Times New Roman"/>
          <w:sz w:val="24"/>
          <w:szCs w:val="24"/>
        </w:rPr>
        <w:t>η ποιότητα της φωνής-σε περίπτωση που είναι βραχνή αποτελεί σημάδι εισρόφησης</w:t>
      </w:r>
    </w:p>
    <w:p w14:paraId="6CBA49CF" w14:textId="77777777" w:rsidR="00146CE2" w:rsidRDefault="00DB0AA3">
      <w:pPr>
        <w:pStyle w:val="a5"/>
        <w:numPr>
          <w:ilvl w:val="0"/>
          <w:numId w:val="12"/>
        </w:numPr>
        <w:spacing w:after="120" w:line="360" w:lineRule="auto"/>
        <w:jc w:val="both"/>
        <w:rPr>
          <w:rFonts w:ascii="Times New Roman" w:hAnsi="Times New Roman"/>
          <w:sz w:val="24"/>
          <w:szCs w:val="24"/>
        </w:rPr>
      </w:pPr>
      <w:r>
        <w:rPr>
          <w:rFonts w:ascii="Times New Roman" w:hAnsi="Times New Roman"/>
          <w:sz w:val="24"/>
          <w:szCs w:val="24"/>
        </w:rPr>
        <w:t>ο τόνος της φωνής-ο ασθενής παράγει συνεχόμενα /</w:t>
      </w:r>
      <w:proofErr w:type="spellStart"/>
      <w:r>
        <w:rPr>
          <w:rFonts w:ascii="Times New Roman" w:hAnsi="Times New Roman"/>
          <w:sz w:val="24"/>
          <w:szCs w:val="24"/>
          <w:lang w:val="en-US"/>
        </w:rPr>
        <w:t>i</w:t>
      </w:r>
      <w:proofErr w:type="spellEnd"/>
      <w:r>
        <w:rPr>
          <w:rFonts w:ascii="Times New Roman" w:hAnsi="Times New Roman"/>
          <w:sz w:val="24"/>
          <w:szCs w:val="24"/>
        </w:rPr>
        <w:t>/  έως ότου αλλοιωθεί η φωνή του, ενώ ο κλινικός ψηλαφίζει το λαιμό του μέχρι να αντιληφθεί ανύψωση του λάρυγγα</w:t>
      </w:r>
    </w:p>
    <w:p w14:paraId="41AE6995" w14:textId="77777777" w:rsidR="00146CE2" w:rsidRDefault="00DB0AA3">
      <w:pPr>
        <w:pStyle w:val="a5"/>
        <w:numPr>
          <w:ilvl w:val="0"/>
          <w:numId w:val="12"/>
        </w:numPr>
        <w:spacing w:after="120" w:line="360" w:lineRule="auto"/>
        <w:jc w:val="both"/>
        <w:rPr>
          <w:rFonts w:ascii="Times New Roman" w:hAnsi="Times New Roman"/>
          <w:sz w:val="24"/>
          <w:szCs w:val="24"/>
        </w:rPr>
      </w:pPr>
      <w:r>
        <w:rPr>
          <w:rFonts w:ascii="Times New Roman" w:hAnsi="Times New Roman"/>
          <w:sz w:val="24"/>
          <w:szCs w:val="24"/>
        </w:rPr>
        <w:t>το όριο έντασης της φωνής-ο ασθενής καλείται να παράγει παρατεταμένα /</w:t>
      </w:r>
      <w:r>
        <w:rPr>
          <w:rFonts w:ascii="Times New Roman" w:hAnsi="Times New Roman"/>
          <w:sz w:val="24"/>
          <w:szCs w:val="24"/>
          <w:lang w:val="en-US"/>
        </w:rPr>
        <w:t>o</w:t>
      </w:r>
      <w:r>
        <w:rPr>
          <w:rFonts w:ascii="Times New Roman" w:hAnsi="Times New Roman"/>
          <w:sz w:val="24"/>
          <w:szCs w:val="24"/>
        </w:rPr>
        <w:t>/ για όση ώρα μπορεί</w:t>
      </w:r>
    </w:p>
    <w:p w14:paraId="5B155BCF" w14:textId="77777777" w:rsidR="00146CE2" w:rsidRDefault="00DB0AA3">
      <w:pPr>
        <w:pStyle w:val="a5"/>
        <w:numPr>
          <w:ilvl w:val="0"/>
          <w:numId w:val="12"/>
        </w:numPr>
        <w:spacing w:after="120" w:line="360" w:lineRule="auto"/>
        <w:jc w:val="both"/>
        <w:rPr>
          <w:rFonts w:ascii="Times New Roman" w:hAnsi="Times New Roman"/>
          <w:sz w:val="24"/>
          <w:szCs w:val="24"/>
        </w:rPr>
      </w:pPr>
      <w:r>
        <w:rPr>
          <w:rFonts w:ascii="Times New Roman" w:hAnsi="Times New Roman"/>
          <w:sz w:val="24"/>
          <w:szCs w:val="24"/>
        </w:rPr>
        <w:lastRenderedPageBreak/>
        <w:t>ο φωνητικός χρόνος</w:t>
      </w:r>
    </w:p>
    <w:p w14:paraId="5D6FF681" w14:textId="77777777" w:rsidR="00146CE2" w:rsidRDefault="00DB0AA3">
      <w:pPr>
        <w:pStyle w:val="a5"/>
        <w:numPr>
          <w:ilvl w:val="0"/>
          <w:numId w:val="12"/>
        </w:numPr>
        <w:spacing w:after="120" w:line="360" w:lineRule="auto"/>
        <w:jc w:val="both"/>
        <w:rPr>
          <w:rFonts w:ascii="Times New Roman" w:hAnsi="Times New Roman"/>
          <w:sz w:val="24"/>
          <w:szCs w:val="24"/>
        </w:rPr>
      </w:pPr>
      <w:r>
        <w:rPr>
          <w:rFonts w:ascii="Times New Roman" w:hAnsi="Times New Roman"/>
          <w:sz w:val="24"/>
          <w:szCs w:val="24"/>
        </w:rPr>
        <w:t xml:space="preserve">η </w:t>
      </w:r>
      <w:proofErr w:type="spellStart"/>
      <w:r>
        <w:rPr>
          <w:rFonts w:ascii="Times New Roman" w:hAnsi="Times New Roman"/>
          <w:sz w:val="24"/>
          <w:szCs w:val="24"/>
        </w:rPr>
        <w:t>διαδοχοκινητική</w:t>
      </w:r>
      <w:proofErr w:type="spellEnd"/>
      <w:r>
        <w:rPr>
          <w:rFonts w:ascii="Times New Roman" w:hAnsi="Times New Roman"/>
          <w:sz w:val="24"/>
          <w:szCs w:val="24"/>
        </w:rPr>
        <w:t xml:space="preserve"> ταχύτητα-ο ασθενή</w:t>
      </w:r>
      <w:r w:rsidR="001E6C0F">
        <w:rPr>
          <w:rFonts w:ascii="Times New Roman" w:hAnsi="Times New Roman"/>
          <w:sz w:val="24"/>
          <w:szCs w:val="24"/>
        </w:rPr>
        <w:t>ς παράγει επαναλαμβανόμενα «χα»</w:t>
      </w:r>
      <w:r>
        <w:rPr>
          <w:rFonts w:ascii="Times New Roman" w:hAnsi="Times New Roman"/>
          <w:sz w:val="24"/>
          <w:szCs w:val="24"/>
        </w:rPr>
        <w:t>, με σκοπό την διαπίστωση της καθαρότητας</w:t>
      </w:r>
    </w:p>
    <w:p w14:paraId="2B5098B1" w14:textId="77777777" w:rsidR="00146CE2" w:rsidRDefault="00DB0AA3">
      <w:pPr>
        <w:pStyle w:val="a5"/>
        <w:numPr>
          <w:ilvl w:val="0"/>
          <w:numId w:val="12"/>
        </w:numPr>
        <w:spacing w:after="120" w:line="360" w:lineRule="auto"/>
        <w:jc w:val="both"/>
        <w:rPr>
          <w:rFonts w:ascii="Times New Roman" w:hAnsi="Times New Roman"/>
          <w:sz w:val="24"/>
          <w:szCs w:val="24"/>
        </w:rPr>
      </w:pPr>
      <w:r>
        <w:rPr>
          <w:rFonts w:ascii="Times New Roman" w:hAnsi="Times New Roman"/>
          <w:sz w:val="24"/>
          <w:szCs w:val="24"/>
        </w:rPr>
        <w:t>ο εκούσιος βήχας</w:t>
      </w:r>
    </w:p>
    <w:p w14:paraId="4DFE925F" w14:textId="77777777" w:rsidR="00146CE2" w:rsidRDefault="00DB0AA3" w:rsidP="005248AF">
      <w:pPr>
        <w:pStyle w:val="a5"/>
        <w:numPr>
          <w:ilvl w:val="0"/>
          <w:numId w:val="12"/>
        </w:numPr>
        <w:spacing w:after="120" w:line="360" w:lineRule="auto"/>
        <w:jc w:val="both"/>
        <w:rPr>
          <w:rFonts w:ascii="Times New Roman" w:hAnsi="Times New Roman"/>
          <w:sz w:val="24"/>
          <w:szCs w:val="24"/>
        </w:rPr>
      </w:pPr>
      <w:r>
        <w:rPr>
          <w:rFonts w:ascii="Times New Roman" w:hAnsi="Times New Roman"/>
          <w:sz w:val="24"/>
          <w:szCs w:val="24"/>
        </w:rPr>
        <w:t>η δυνατότητα “καθαρισμού” της φωνής (</w:t>
      </w:r>
      <w:proofErr w:type="spellStart"/>
      <w:r>
        <w:rPr>
          <w:rFonts w:ascii="Times New Roman" w:hAnsi="Times New Roman"/>
          <w:sz w:val="24"/>
          <w:szCs w:val="24"/>
        </w:rPr>
        <w:t>Πρώιου</w:t>
      </w:r>
      <w:proofErr w:type="spellEnd"/>
      <w:r>
        <w:rPr>
          <w:rFonts w:ascii="Times New Roman" w:hAnsi="Times New Roman"/>
          <w:sz w:val="24"/>
          <w:szCs w:val="24"/>
        </w:rPr>
        <w:t>, 2003</w:t>
      </w:r>
      <w:r w:rsidR="005248AF" w:rsidRPr="005248AF">
        <w:rPr>
          <w:rFonts w:ascii="Times New Roman" w:hAnsi="Times New Roman"/>
          <w:sz w:val="24"/>
          <w:szCs w:val="24"/>
        </w:rPr>
        <w:t>;</w:t>
      </w:r>
      <w:r w:rsidR="005248AF" w:rsidRPr="005248AF">
        <w:t xml:space="preserve"> </w:t>
      </w:r>
      <w:proofErr w:type="spellStart"/>
      <w:r w:rsidR="005248AF" w:rsidRPr="005248AF">
        <w:rPr>
          <w:rFonts w:ascii="Times New Roman" w:hAnsi="Times New Roman"/>
          <w:sz w:val="24"/>
          <w:szCs w:val="24"/>
        </w:rPr>
        <w:t>Murry</w:t>
      </w:r>
      <w:proofErr w:type="spellEnd"/>
      <w:r w:rsidR="005248AF" w:rsidRPr="005248AF">
        <w:rPr>
          <w:rFonts w:ascii="Times New Roman" w:hAnsi="Times New Roman"/>
          <w:sz w:val="24"/>
          <w:szCs w:val="24"/>
        </w:rPr>
        <w:t xml:space="preserve"> &amp; </w:t>
      </w:r>
      <w:proofErr w:type="spellStart"/>
      <w:r w:rsidR="005248AF" w:rsidRPr="005248AF">
        <w:rPr>
          <w:rFonts w:ascii="Times New Roman" w:hAnsi="Times New Roman"/>
          <w:sz w:val="24"/>
          <w:szCs w:val="24"/>
        </w:rPr>
        <w:t>Carrau</w:t>
      </w:r>
      <w:proofErr w:type="spellEnd"/>
      <w:r w:rsidR="005248AF" w:rsidRPr="005248AF">
        <w:rPr>
          <w:rFonts w:ascii="Times New Roman" w:hAnsi="Times New Roman"/>
          <w:sz w:val="24"/>
          <w:szCs w:val="24"/>
        </w:rPr>
        <w:t xml:space="preserve">, 2014; </w:t>
      </w:r>
      <w:proofErr w:type="spellStart"/>
      <w:r w:rsidR="005248AF">
        <w:rPr>
          <w:rFonts w:ascii="Times New Roman" w:hAnsi="Times New Roman"/>
          <w:sz w:val="24"/>
          <w:szCs w:val="24"/>
        </w:rPr>
        <w:t>Καμπανάρου</w:t>
      </w:r>
      <w:proofErr w:type="spellEnd"/>
      <w:r w:rsidR="005248AF">
        <w:rPr>
          <w:rFonts w:ascii="Times New Roman" w:hAnsi="Times New Roman"/>
          <w:sz w:val="24"/>
          <w:szCs w:val="24"/>
        </w:rPr>
        <w:t>, 2007</w:t>
      </w:r>
      <w:r>
        <w:rPr>
          <w:rFonts w:ascii="Times New Roman" w:hAnsi="Times New Roman"/>
          <w:sz w:val="24"/>
          <w:szCs w:val="24"/>
        </w:rPr>
        <w:t>)</w:t>
      </w:r>
    </w:p>
    <w:p w14:paraId="3A4218B5" w14:textId="77777777" w:rsidR="005D0950" w:rsidRPr="00BF0161" w:rsidRDefault="005D0950">
      <w:pPr>
        <w:spacing w:after="120" w:line="360" w:lineRule="auto"/>
        <w:jc w:val="both"/>
        <w:rPr>
          <w:b/>
          <w:lang w:val="el-GR"/>
        </w:rPr>
      </w:pPr>
    </w:p>
    <w:p w14:paraId="14BABB90" w14:textId="77777777" w:rsidR="00146CE2" w:rsidRPr="00456D14" w:rsidRDefault="00DB0AA3" w:rsidP="00456D14">
      <w:pPr>
        <w:pStyle w:val="2"/>
        <w:spacing w:before="0" w:line="360" w:lineRule="auto"/>
        <w:rPr>
          <w:b/>
        </w:rPr>
      </w:pPr>
      <w:bookmarkStart w:id="47" w:name="_Toc493323984"/>
      <w:r w:rsidRPr="00456D14">
        <w:rPr>
          <w:b/>
        </w:rPr>
        <w:t>1.5.3.7 Ειδική αξιολόγηση αναγωγής</w:t>
      </w:r>
      <w:bookmarkEnd w:id="47"/>
    </w:p>
    <w:p w14:paraId="5ABA34B0" w14:textId="77777777" w:rsidR="00146CE2" w:rsidRPr="00BF0161" w:rsidRDefault="00DB0AA3">
      <w:pPr>
        <w:spacing w:after="120" w:line="360" w:lineRule="auto"/>
        <w:jc w:val="both"/>
        <w:rPr>
          <w:lang w:val="el-GR"/>
        </w:rPr>
      </w:pPr>
      <w:r w:rsidRPr="00BF0161">
        <w:rPr>
          <w:lang w:val="el-GR"/>
        </w:rPr>
        <w:t xml:space="preserve">Η αξιολόγηση αυτή πραγματοποιείται σε ασθενείς, για τους οποίους υπάρχει υποψία διαταραχών στη στοματική φάση. </w:t>
      </w:r>
      <w:r w:rsidRPr="00BF0161">
        <w:rPr>
          <w:i/>
          <w:lang w:val="el-GR"/>
        </w:rPr>
        <w:t>Πρώτη δοκιμασία</w:t>
      </w:r>
      <w:r w:rsidRPr="00BF0161">
        <w:rPr>
          <w:lang w:val="el-GR"/>
        </w:rPr>
        <w:t xml:space="preserve">: Δίνεται στον ασθενή μία μικρή ποσότητα γιαουρτιού, το οποίο χρωματίζεται, με σκοπό να εξακριβώσει ο κλινικός την πιθανή ένδειξη αναγωγής. Σε ασθενείς που βιώνουν συχνές αναρροφήσεις εκκρίσεων από τον πνεύμονα, </w:t>
      </w:r>
      <w:r w:rsidR="00885249">
        <w:rPr>
          <w:lang w:val="el-GR"/>
        </w:rPr>
        <w:t xml:space="preserve">δίνεται ένα τρίτο του κουταλιού </w:t>
      </w:r>
      <w:r w:rsidRPr="00BF0161">
        <w:rPr>
          <w:lang w:val="el-GR"/>
        </w:rPr>
        <w:t>γιαούρτι και αμέσως γίνεται αναρρόφηση από την τραχεία και τον πνεύμονα. Αν υπάρχει διαρροή στους αεραγωγούς, ο ασθενής βήξει και αποβάλλει το γιαούρτι, υποδηλώνεται διαταραχή κατάποσης με φυσιολογικό, όμως, αντανακλαστικό βήχα. Η απουσία του αντανακλαστικού προμηνύει ότι αυτό υπολειτουργεί</w:t>
      </w:r>
      <w:r w:rsidRPr="00BF0161">
        <w:rPr>
          <w:i/>
          <w:lang w:val="el-GR"/>
        </w:rPr>
        <w:t>.  Δεύτερη δοκιμασία</w:t>
      </w:r>
      <w:r w:rsidR="009D64B1" w:rsidRPr="00BF0161">
        <w:rPr>
          <w:lang w:val="el-GR"/>
        </w:rPr>
        <w:t xml:space="preserve">: </w:t>
      </w:r>
      <w:r w:rsidR="009D64B1" w:rsidRPr="00BF0161">
        <w:rPr>
          <w:lang w:val="el-GR"/>
        </w:rPr>
        <w:lastRenderedPageBreak/>
        <w:t>Δίνεται</w:t>
      </w:r>
      <w:r w:rsidRPr="00BF0161">
        <w:rPr>
          <w:lang w:val="el-GR"/>
        </w:rPr>
        <w:t xml:space="preserve"> μια μικρή ποσότητα γιαουρτιού στον ασθενή, για να το καταπιεί και του ζητείται να εκφωνήσει ένα /</w:t>
      </w:r>
      <w:r>
        <w:rPr>
          <w:lang w:val="en-US"/>
        </w:rPr>
        <w:t>a</w:t>
      </w:r>
      <w:r w:rsidRPr="00BF0161">
        <w:rPr>
          <w:lang w:val="el-GR"/>
        </w:rPr>
        <w:t>/ για δύο δευτερόλεπτα. Εάν η φωνή του έχει μία “παχιά” χροιά, αυτό υποδηλώνει την ύπαρξη υπολειμμάτων στην επάνω επιφάνεια των φωνητικών χορδών. Με σκοπό τον καθα</w:t>
      </w:r>
      <w:r w:rsidR="00384E32" w:rsidRPr="00BF0161">
        <w:rPr>
          <w:lang w:val="el-GR"/>
        </w:rPr>
        <w:t>ρισμό των υπολειμμάτων ο ασθενή</w:t>
      </w:r>
      <w:r w:rsidRPr="00BF0161">
        <w:rPr>
          <w:lang w:val="el-GR"/>
        </w:rPr>
        <w:t xml:space="preserve">ς καλείται να κινήσει το κεφάλι δεξιά και αριστερά ή να αναπνεύσει </w:t>
      </w:r>
      <w:proofErr w:type="spellStart"/>
      <w:r w:rsidRPr="00BF0161">
        <w:rPr>
          <w:lang w:val="el-GR"/>
        </w:rPr>
        <w:t>λαχανιαστά</w:t>
      </w:r>
      <w:proofErr w:type="spellEnd"/>
      <w:r w:rsidRPr="00BF0161">
        <w:rPr>
          <w:lang w:val="el-GR"/>
        </w:rPr>
        <w:t xml:space="preserve"> για λίγο και έπειτα επαναλαμβάνει πάλι το /</w:t>
      </w:r>
      <w:r>
        <w:rPr>
          <w:lang w:val="en-US"/>
        </w:rPr>
        <w:t>a</w:t>
      </w:r>
      <w:r w:rsidRPr="00BF0161">
        <w:rPr>
          <w:lang w:val="el-GR"/>
        </w:rPr>
        <w:t>/. Σε περίπτωση που η χροιά της φωνής του ακουστεί πάλι “παχιά”, αυτό αποτελεί ένδειξη μη επαρκούς καθαρισμού το</w:t>
      </w:r>
      <w:r w:rsidR="00857727" w:rsidRPr="00BF0161">
        <w:rPr>
          <w:lang w:val="el-GR"/>
        </w:rPr>
        <w:t>υ φάρυγγα, με αποτέλεσμα πιθανή αναγωγή</w:t>
      </w:r>
      <w:r w:rsidRPr="00BF0161">
        <w:rPr>
          <w:lang w:val="el-GR"/>
        </w:rPr>
        <w:t xml:space="preserve"> μετά την κατάποση (Μεσσήνης &amp; Αντωνιάδης, 2010).</w:t>
      </w:r>
    </w:p>
    <w:p w14:paraId="348438AD" w14:textId="77777777" w:rsidR="00146CE2" w:rsidRPr="00BF0161" w:rsidRDefault="00146CE2">
      <w:pPr>
        <w:spacing w:after="120" w:line="360" w:lineRule="auto"/>
        <w:jc w:val="both"/>
        <w:rPr>
          <w:lang w:val="el-GR"/>
        </w:rPr>
      </w:pPr>
    </w:p>
    <w:p w14:paraId="4F7F1E89" w14:textId="77777777" w:rsidR="00146CE2" w:rsidRPr="00456D14" w:rsidRDefault="00DB0AA3" w:rsidP="00456D14">
      <w:pPr>
        <w:pStyle w:val="2"/>
        <w:spacing w:before="0" w:line="360" w:lineRule="auto"/>
        <w:rPr>
          <w:b/>
        </w:rPr>
      </w:pPr>
      <w:bookmarkStart w:id="48" w:name="_Toc493323985"/>
      <w:r w:rsidRPr="00456D14">
        <w:rPr>
          <w:b/>
        </w:rPr>
        <w:t xml:space="preserve">1.5.4  Εργαλεία </w:t>
      </w:r>
      <w:proofErr w:type="spellStart"/>
      <w:r w:rsidRPr="00456D14">
        <w:rPr>
          <w:b/>
        </w:rPr>
        <w:t>αυτ</w:t>
      </w:r>
      <w:proofErr w:type="spellEnd"/>
      <w:r w:rsidR="008A3DF9" w:rsidRPr="00456D14">
        <w:rPr>
          <w:b/>
          <w:lang w:val="en-US"/>
        </w:rPr>
        <w:t>o</w:t>
      </w:r>
      <w:r w:rsidRPr="00456D14">
        <w:rPr>
          <w:b/>
        </w:rPr>
        <w:t>-αξιολόγησης</w:t>
      </w:r>
      <w:bookmarkEnd w:id="48"/>
    </w:p>
    <w:p w14:paraId="5AC357DE" w14:textId="77777777" w:rsidR="00146CE2" w:rsidRPr="00BF0161" w:rsidRDefault="00DB0AA3">
      <w:pPr>
        <w:spacing w:after="120" w:line="360" w:lineRule="auto"/>
        <w:jc w:val="both"/>
        <w:rPr>
          <w:lang w:val="el-GR"/>
        </w:rPr>
      </w:pPr>
      <w:r w:rsidRPr="00BF0161">
        <w:rPr>
          <w:lang w:val="el-GR"/>
        </w:rPr>
        <w:t xml:space="preserve">Τα εργαλεία αυτό-αξιολόγησης χρησιμοποιούνται πριν και μετά την παρέμβαση παρέχοντας επιπλέον πληροφορίες. Τέτοια εργαλεία μπορεί να είναι ερωτηματολόγια και κλίμακες, τα οποία συμπληρώνονται από τους ίδιους τους ασθενείς ,εφόσον αυτοί είναι σε θέση να τα κατανοήσουν. Επίσης, τα εργαλεία μπορούν να απαντηθούν και από τους συνοδούς/φροντιστές των ασθενών.  Ο σκοπός αυτών των εργαλείων είναι η αξιολόγηση </w:t>
      </w:r>
      <w:r w:rsidRPr="00BF0161">
        <w:rPr>
          <w:lang w:val="el-GR"/>
        </w:rPr>
        <w:lastRenderedPageBreak/>
        <w:t>της ποιότητας ζωής του ατόμου (πχ. τι αντίκτυπο έχει η δυσφαγία στην καθημερινότητά του) και την αποτελεσματικότητα της θεραπείας. Όσον αφορά τον κλινικό, αποκομίζει πληροφορίες σχετικά με την αυτογνωσία</w:t>
      </w:r>
      <w:r w:rsidR="00B960D8">
        <w:rPr>
          <w:lang w:val="el-GR"/>
        </w:rPr>
        <w:t xml:space="preserve"> του ασθενή και για το εάν έχει συνείδηση της διαταραχής του </w:t>
      </w:r>
      <w:r w:rsidRPr="00BF0161">
        <w:rPr>
          <w:lang w:val="el-GR"/>
        </w:rPr>
        <w:t>(</w:t>
      </w:r>
      <w:r>
        <w:rPr>
          <w:lang w:val="en-US"/>
        </w:rPr>
        <w:t>Murry</w:t>
      </w:r>
      <w:r w:rsidRPr="00BF0161">
        <w:rPr>
          <w:lang w:val="el-GR"/>
        </w:rPr>
        <w:t xml:space="preserve"> &amp; </w:t>
      </w:r>
      <w:proofErr w:type="spellStart"/>
      <w:r>
        <w:rPr>
          <w:lang w:val="en-US"/>
        </w:rPr>
        <w:t>Carrau</w:t>
      </w:r>
      <w:proofErr w:type="spellEnd"/>
      <w:r w:rsidRPr="00BF0161">
        <w:rPr>
          <w:lang w:val="el-GR"/>
        </w:rPr>
        <w:t>, 2014).</w:t>
      </w:r>
    </w:p>
    <w:p w14:paraId="130EC148" w14:textId="77777777" w:rsidR="005D0950" w:rsidRPr="00BF0161" w:rsidRDefault="005D0950">
      <w:pPr>
        <w:spacing w:after="120" w:line="360" w:lineRule="auto"/>
        <w:jc w:val="both"/>
        <w:rPr>
          <w:b/>
          <w:sz w:val="28"/>
          <w:lang w:val="el-GR"/>
        </w:rPr>
      </w:pPr>
    </w:p>
    <w:p w14:paraId="3819B4A2" w14:textId="77777777" w:rsidR="008A3DF9" w:rsidRPr="00DA4172" w:rsidRDefault="008A3DF9">
      <w:pPr>
        <w:spacing w:after="120" w:line="360" w:lineRule="auto"/>
        <w:jc w:val="both"/>
        <w:rPr>
          <w:b/>
          <w:sz w:val="28"/>
          <w:lang w:val="el-GR"/>
        </w:rPr>
      </w:pPr>
    </w:p>
    <w:p w14:paraId="4D337DA6" w14:textId="77777777" w:rsidR="008A3DF9" w:rsidRPr="00DA4172" w:rsidRDefault="008A3DF9">
      <w:pPr>
        <w:spacing w:after="120" w:line="360" w:lineRule="auto"/>
        <w:jc w:val="both"/>
        <w:rPr>
          <w:b/>
          <w:sz w:val="28"/>
          <w:lang w:val="el-GR"/>
        </w:rPr>
      </w:pPr>
    </w:p>
    <w:p w14:paraId="4B681821" w14:textId="77777777" w:rsidR="008A3DF9" w:rsidRPr="00DA4172" w:rsidRDefault="008A3DF9">
      <w:pPr>
        <w:spacing w:after="120" w:line="360" w:lineRule="auto"/>
        <w:jc w:val="both"/>
        <w:rPr>
          <w:b/>
          <w:sz w:val="28"/>
          <w:lang w:val="el-GR"/>
        </w:rPr>
      </w:pPr>
    </w:p>
    <w:p w14:paraId="7372871F" w14:textId="77777777" w:rsidR="008A3DF9" w:rsidRPr="00DA4172" w:rsidRDefault="008A3DF9">
      <w:pPr>
        <w:spacing w:after="120" w:line="360" w:lineRule="auto"/>
        <w:jc w:val="both"/>
        <w:rPr>
          <w:b/>
          <w:sz w:val="28"/>
          <w:lang w:val="el-GR"/>
        </w:rPr>
      </w:pPr>
    </w:p>
    <w:p w14:paraId="0BB6A800" w14:textId="77777777" w:rsidR="008A3DF9" w:rsidRPr="00DA4172" w:rsidRDefault="008A3DF9">
      <w:pPr>
        <w:spacing w:after="120" w:line="360" w:lineRule="auto"/>
        <w:jc w:val="both"/>
        <w:rPr>
          <w:b/>
          <w:sz w:val="28"/>
          <w:lang w:val="el-GR"/>
        </w:rPr>
      </w:pPr>
    </w:p>
    <w:p w14:paraId="7957C5AA" w14:textId="77777777" w:rsidR="008A3DF9" w:rsidRPr="00DA4172" w:rsidRDefault="008A3DF9">
      <w:pPr>
        <w:spacing w:after="120" w:line="360" w:lineRule="auto"/>
        <w:jc w:val="both"/>
        <w:rPr>
          <w:b/>
          <w:sz w:val="28"/>
          <w:lang w:val="el-GR"/>
        </w:rPr>
      </w:pPr>
    </w:p>
    <w:p w14:paraId="3746F768" w14:textId="77777777" w:rsidR="00146CE2" w:rsidRPr="00456D14" w:rsidRDefault="00DB0AA3" w:rsidP="00456D14">
      <w:pPr>
        <w:pStyle w:val="2"/>
        <w:spacing w:before="0" w:line="360" w:lineRule="auto"/>
        <w:rPr>
          <w:b/>
          <w:sz w:val="28"/>
        </w:rPr>
      </w:pPr>
      <w:bookmarkStart w:id="49" w:name="_Toc493323986"/>
      <w:r w:rsidRPr="00456D14">
        <w:rPr>
          <w:b/>
          <w:sz w:val="28"/>
        </w:rPr>
        <w:t>1.6 Προβληματική της έρευνας</w:t>
      </w:r>
      <w:bookmarkEnd w:id="49"/>
    </w:p>
    <w:p w14:paraId="388E12F2" w14:textId="77777777" w:rsidR="00146CE2" w:rsidRPr="00BF0161" w:rsidRDefault="00DB0AA3" w:rsidP="008A3DF9">
      <w:pPr>
        <w:spacing w:after="120" w:line="360" w:lineRule="auto"/>
        <w:jc w:val="both"/>
        <w:rPr>
          <w:color w:val="222222"/>
          <w:shd w:val="clear" w:color="auto" w:fill="FFFFFF"/>
          <w:lang w:val="el-GR"/>
        </w:rPr>
      </w:pPr>
      <w:r w:rsidRPr="00BF0161">
        <w:rPr>
          <w:lang w:val="el-GR"/>
        </w:rPr>
        <w:t xml:space="preserve">Οι </w:t>
      </w:r>
      <w:proofErr w:type="spellStart"/>
      <w:r>
        <w:rPr>
          <w:color w:val="222222"/>
          <w:shd w:val="clear" w:color="auto" w:fill="FFFFFF"/>
          <w:lang w:val="en-US"/>
        </w:rPr>
        <w:t>Roden</w:t>
      </w:r>
      <w:proofErr w:type="spellEnd"/>
      <w:r w:rsidRPr="00BF0161">
        <w:rPr>
          <w:color w:val="222222"/>
          <w:shd w:val="clear" w:color="auto" w:fill="FFFFFF"/>
          <w:lang w:val="el-GR"/>
        </w:rPr>
        <w:t xml:space="preserve"> και </w:t>
      </w:r>
      <w:r>
        <w:rPr>
          <w:color w:val="222222"/>
          <w:shd w:val="clear" w:color="auto" w:fill="FFFFFF"/>
          <w:lang w:val="en-US"/>
        </w:rPr>
        <w:t>Altman</w:t>
      </w:r>
      <w:r w:rsidRPr="00BF0161">
        <w:rPr>
          <w:color w:val="222222"/>
          <w:shd w:val="clear" w:color="auto" w:fill="FFFFFF"/>
          <w:lang w:val="el-GR"/>
        </w:rPr>
        <w:t xml:space="preserve"> (2013) διαπίστωσαν την επικράτηση της δυσφαγίας σε ποσοστό 1.7% - 11.3% του γενικού πληθυσμού. Συγκεκριμένα, στις </w:t>
      </w:r>
      <w:r w:rsidRPr="00BF0161">
        <w:rPr>
          <w:color w:val="222222"/>
          <w:shd w:val="clear" w:color="auto" w:fill="FFFFFF"/>
          <w:lang w:val="el-GR"/>
        </w:rPr>
        <w:lastRenderedPageBreak/>
        <w:t>ΗΠΑ το 6%-7% του πληθυσμού πάσχουν από διαταραχές κατάποσης. Από τα άτομα αυτά το 13-14% εισάγεται επειγόντως σε  νοσοκομείο και το 50% σε γηροκομείο (</w:t>
      </w:r>
      <w:proofErr w:type="spellStart"/>
      <w:r>
        <w:rPr>
          <w:color w:val="222222"/>
          <w:shd w:val="clear" w:color="auto" w:fill="FFFFFF"/>
          <w:lang w:val="en-US"/>
        </w:rPr>
        <w:t>Logemann</w:t>
      </w:r>
      <w:proofErr w:type="spellEnd"/>
      <w:r w:rsidRPr="00BF0161">
        <w:rPr>
          <w:color w:val="222222"/>
          <w:shd w:val="clear" w:color="auto" w:fill="FFFFFF"/>
          <w:lang w:val="el-GR"/>
        </w:rPr>
        <w:t xml:space="preserve">, 1995). </w:t>
      </w:r>
    </w:p>
    <w:p w14:paraId="3D79904D" w14:textId="77777777" w:rsidR="00146CE2" w:rsidRPr="00BF0161" w:rsidRDefault="00DB0AA3" w:rsidP="008A3DF9">
      <w:pPr>
        <w:spacing w:after="120" w:line="360" w:lineRule="auto"/>
        <w:jc w:val="both"/>
        <w:rPr>
          <w:color w:val="222222"/>
          <w:shd w:val="clear" w:color="auto" w:fill="FFFFFF"/>
          <w:lang w:val="el-GR"/>
        </w:rPr>
      </w:pPr>
      <w:r w:rsidRPr="00BF0161">
        <w:rPr>
          <w:color w:val="222222"/>
          <w:shd w:val="clear" w:color="auto" w:fill="FFFFFF"/>
          <w:lang w:val="el-GR"/>
        </w:rPr>
        <w:t xml:space="preserve">Ένα πιθανό αίτιο είναι τα αγγειακά εγκεφαλικά επεισόδια. Οι </w:t>
      </w:r>
      <w:proofErr w:type="spellStart"/>
      <w:r>
        <w:rPr>
          <w:color w:val="222222"/>
          <w:shd w:val="clear" w:color="auto" w:fill="FFFFFF"/>
          <w:lang w:val="en-US"/>
        </w:rPr>
        <w:t>Smithard</w:t>
      </w:r>
      <w:proofErr w:type="spellEnd"/>
      <w:r w:rsidRPr="00BF0161">
        <w:rPr>
          <w:color w:val="222222"/>
          <w:shd w:val="clear" w:color="auto" w:fill="FFFFFF"/>
          <w:lang w:val="el-GR"/>
        </w:rPr>
        <w:t xml:space="preserve"> και συνεργάτες  (1997) σημειώνουν ότι το αγγειακό εγκεφαλικό επεισόδιο είναι η συχνότερη νευρολογική πάθηση που οδηγεί σε δυσφαγία, με ποσοστό της τάξεως του 30% των ασθενών. Συγκεκριμένα, η </w:t>
      </w:r>
      <w:r>
        <w:rPr>
          <w:color w:val="222222"/>
          <w:shd w:val="clear" w:color="auto" w:fill="FFFFFF"/>
          <w:lang w:val="en-US"/>
        </w:rPr>
        <w:t>Robbins</w:t>
      </w:r>
      <w:r w:rsidRPr="00BF0161">
        <w:rPr>
          <w:color w:val="222222"/>
          <w:shd w:val="clear" w:color="auto" w:fill="FFFFFF"/>
          <w:lang w:val="el-GR"/>
        </w:rPr>
        <w:t xml:space="preserve"> και</w:t>
      </w:r>
      <w:r w:rsidR="00770C20">
        <w:rPr>
          <w:color w:val="222222"/>
          <w:shd w:val="clear" w:color="auto" w:fill="FFFFFF"/>
          <w:lang w:val="el-GR"/>
        </w:rPr>
        <w:t xml:space="preserve"> οι</w:t>
      </w:r>
      <w:r w:rsidRPr="00BF0161">
        <w:rPr>
          <w:color w:val="222222"/>
          <w:shd w:val="clear" w:color="auto" w:fill="FFFFFF"/>
          <w:lang w:val="el-GR"/>
        </w:rPr>
        <w:t xml:space="preserve"> συνεργάτες</w:t>
      </w:r>
      <w:r w:rsidR="008E6F56">
        <w:rPr>
          <w:color w:val="222222"/>
          <w:shd w:val="clear" w:color="auto" w:fill="FFFFFF"/>
          <w:lang w:val="el-GR"/>
        </w:rPr>
        <w:t xml:space="preserve"> της</w:t>
      </w:r>
      <w:r w:rsidRPr="00BF0161">
        <w:rPr>
          <w:color w:val="222222"/>
          <w:shd w:val="clear" w:color="auto" w:fill="FFFFFF"/>
          <w:lang w:val="el-GR"/>
        </w:rPr>
        <w:t xml:space="preserve"> (1993) αναφέρουν σε έρευνά τους με δείγμα σαράντα ασθενών ότι, όσοι υπέστησαν εγκεφαλικό επεισόδιο στο αριστερό ημισφαίριο, παρουσίασαν απραξία και δυσκολία στο στοματικό στάδιο, ενώ εκείνοι που υπέστησαν στο δεξί, εμφάνισαν φαρυγγική δυσλειτουργία με εισρόφηση και κατακράτηση υπολειμμάτων στον φάρυγγα. Η νόσος του </w:t>
      </w:r>
      <w:r>
        <w:rPr>
          <w:color w:val="222222"/>
          <w:shd w:val="clear" w:color="auto" w:fill="FFFFFF"/>
          <w:lang w:val="en-US"/>
        </w:rPr>
        <w:t>Parkinson</w:t>
      </w:r>
      <w:r w:rsidRPr="00BF0161">
        <w:rPr>
          <w:color w:val="222222"/>
          <w:shd w:val="clear" w:color="auto" w:fill="FFFFFF"/>
          <w:lang w:val="el-GR"/>
        </w:rPr>
        <w:t xml:space="preserve"> είναι, επίσης, μία κοινή αιτία δυσφαγίας. Το 77%  των ασθενών με αυτήν τη νόσο πάσχουν και από δυσφαγία, ως </w:t>
      </w:r>
      <w:proofErr w:type="spellStart"/>
      <w:r w:rsidRPr="00BF0161">
        <w:rPr>
          <w:color w:val="222222"/>
          <w:shd w:val="clear" w:color="auto" w:fill="FFFFFF"/>
          <w:lang w:val="el-GR"/>
        </w:rPr>
        <w:t>σύνοδη</w:t>
      </w:r>
      <w:proofErr w:type="spellEnd"/>
      <w:r w:rsidRPr="00BF0161">
        <w:rPr>
          <w:color w:val="222222"/>
          <w:shd w:val="clear" w:color="auto" w:fill="FFFFFF"/>
          <w:lang w:val="el-GR"/>
        </w:rPr>
        <w:t xml:space="preserve"> διαταραχή (</w:t>
      </w:r>
      <w:proofErr w:type="spellStart"/>
      <w:r>
        <w:rPr>
          <w:color w:val="222222"/>
          <w:shd w:val="clear" w:color="auto" w:fill="FFFFFF"/>
        </w:rPr>
        <w:t>Gonz</w:t>
      </w:r>
      <w:proofErr w:type="spellEnd"/>
      <w:r w:rsidRPr="00BF0161">
        <w:rPr>
          <w:color w:val="222222"/>
          <w:shd w:val="clear" w:color="auto" w:fill="FFFFFF"/>
          <w:lang w:val="el-GR"/>
        </w:rPr>
        <w:t>á</w:t>
      </w:r>
      <w:proofErr w:type="spellStart"/>
      <w:r>
        <w:rPr>
          <w:color w:val="222222"/>
          <w:shd w:val="clear" w:color="auto" w:fill="FFFFFF"/>
        </w:rPr>
        <w:t>lez</w:t>
      </w:r>
      <w:proofErr w:type="spellEnd"/>
      <w:r w:rsidRPr="00BF0161">
        <w:rPr>
          <w:color w:val="222222"/>
          <w:shd w:val="clear" w:color="auto" w:fill="FFFFFF"/>
          <w:lang w:val="el-GR"/>
        </w:rPr>
        <w:t>-</w:t>
      </w:r>
      <w:r>
        <w:rPr>
          <w:color w:val="222222"/>
          <w:shd w:val="clear" w:color="auto" w:fill="FFFFFF"/>
        </w:rPr>
        <w:t>Fern</w:t>
      </w:r>
      <w:r w:rsidRPr="00BF0161">
        <w:rPr>
          <w:color w:val="222222"/>
          <w:shd w:val="clear" w:color="auto" w:fill="FFFFFF"/>
          <w:lang w:val="el-GR"/>
        </w:rPr>
        <w:t>á</w:t>
      </w:r>
      <w:proofErr w:type="spellStart"/>
      <w:r>
        <w:rPr>
          <w:color w:val="222222"/>
          <w:shd w:val="clear" w:color="auto" w:fill="FFFFFF"/>
        </w:rPr>
        <w:t>ndez</w:t>
      </w:r>
      <w:proofErr w:type="spellEnd"/>
      <w:r w:rsidRPr="00BF0161">
        <w:rPr>
          <w:color w:val="222222"/>
          <w:shd w:val="clear" w:color="auto" w:fill="FFFFFF"/>
          <w:lang w:val="el-GR"/>
        </w:rPr>
        <w:t xml:space="preserve"> &amp; </w:t>
      </w:r>
      <w:r>
        <w:rPr>
          <w:color w:val="222222"/>
          <w:shd w:val="clear" w:color="auto" w:fill="FFFFFF"/>
        </w:rPr>
        <w:t>Daniels</w:t>
      </w:r>
      <w:r w:rsidRPr="00BF0161">
        <w:rPr>
          <w:color w:val="222222"/>
          <w:shd w:val="clear" w:color="auto" w:fill="FFFFFF"/>
          <w:lang w:val="el-GR"/>
        </w:rPr>
        <w:t xml:space="preserve">, 2008). </w:t>
      </w:r>
    </w:p>
    <w:p w14:paraId="7BA1B143" w14:textId="77777777" w:rsidR="00146CE2" w:rsidRPr="00BF0161" w:rsidRDefault="00DB0AA3" w:rsidP="008A3DF9">
      <w:pPr>
        <w:spacing w:after="120" w:line="360" w:lineRule="auto"/>
        <w:jc w:val="both"/>
        <w:rPr>
          <w:color w:val="222222"/>
          <w:shd w:val="clear" w:color="auto" w:fill="FFFFFF"/>
          <w:lang w:val="el-GR"/>
        </w:rPr>
      </w:pPr>
      <w:r w:rsidRPr="00BF0161">
        <w:rPr>
          <w:color w:val="222222"/>
          <w:shd w:val="clear" w:color="auto" w:fill="FFFFFF"/>
          <w:lang w:val="el-GR"/>
        </w:rPr>
        <w:t xml:space="preserve">Οι </w:t>
      </w:r>
      <w:proofErr w:type="spellStart"/>
      <w:r>
        <w:rPr>
          <w:color w:val="222222"/>
          <w:shd w:val="clear" w:color="auto" w:fill="FFFFFF"/>
          <w:lang w:val="en-US"/>
        </w:rPr>
        <w:t>Ferlay</w:t>
      </w:r>
      <w:proofErr w:type="spellEnd"/>
      <w:r w:rsidRPr="00BF0161">
        <w:rPr>
          <w:color w:val="222222"/>
          <w:shd w:val="clear" w:color="auto" w:fill="FFFFFF"/>
          <w:lang w:val="el-GR"/>
        </w:rPr>
        <w:t xml:space="preserve">, </w:t>
      </w:r>
      <w:proofErr w:type="spellStart"/>
      <w:r>
        <w:rPr>
          <w:color w:val="222222"/>
          <w:shd w:val="clear" w:color="auto" w:fill="FFFFFF"/>
          <w:lang w:val="en-US"/>
        </w:rPr>
        <w:t>Soerjomataram</w:t>
      </w:r>
      <w:proofErr w:type="spellEnd"/>
      <w:r w:rsidRPr="00BF0161">
        <w:rPr>
          <w:color w:val="222222"/>
          <w:shd w:val="clear" w:color="auto" w:fill="FFFFFF"/>
          <w:lang w:val="el-GR"/>
        </w:rPr>
        <w:t xml:space="preserve">, </w:t>
      </w:r>
      <w:proofErr w:type="spellStart"/>
      <w:r>
        <w:rPr>
          <w:color w:val="222222"/>
          <w:shd w:val="clear" w:color="auto" w:fill="FFFFFF"/>
          <w:lang w:val="en-US"/>
        </w:rPr>
        <w:t>Ervik</w:t>
      </w:r>
      <w:proofErr w:type="spellEnd"/>
      <w:r w:rsidRPr="00BF0161">
        <w:rPr>
          <w:color w:val="222222"/>
          <w:shd w:val="clear" w:color="auto" w:fill="FFFFFF"/>
          <w:lang w:val="el-GR"/>
        </w:rPr>
        <w:t xml:space="preserve"> και συνεργάτες σε μία έρευνά τους το 2013 δημοσίευσαν ότι το έτος 2012 υπολογίστηκαν 14.1 εκατομμύρια νέες </w:t>
      </w:r>
      <w:r w:rsidRPr="00BF0161">
        <w:rPr>
          <w:color w:val="222222"/>
          <w:shd w:val="clear" w:color="auto" w:fill="FFFFFF"/>
          <w:lang w:val="el-GR"/>
        </w:rPr>
        <w:lastRenderedPageBreak/>
        <w:t>διαγνωσμένες περιπτώσεις καρκινοπαθών παγκοσμίως και 8.2 εκατομμύρια θάνατοι. Ο καρκίνος είναι μία συνηθισμένη αιτία δυσφαγίας, και συγκεκριμένα ο καρκίνος κεφαλής τραχήλου. Κάποιοι από τους παράγοντες εμφάνισης καρκίνου κεφαλής τραχήλου είναι το κάπνισμα και το αλκοόλ σε ποσοστό 80% παγκοσμίως (</w:t>
      </w:r>
      <w:proofErr w:type="spellStart"/>
      <w:r>
        <w:rPr>
          <w:color w:val="222222"/>
          <w:shd w:val="clear" w:color="auto" w:fill="FFFFFF"/>
          <w:lang w:val="en-US"/>
        </w:rPr>
        <w:t>Lubin</w:t>
      </w:r>
      <w:proofErr w:type="spellEnd"/>
      <w:r w:rsidRPr="00BF0161">
        <w:rPr>
          <w:color w:val="222222"/>
          <w:shd w:val="clear" w:color="auto" w:fill="FFFFFF"/>
          <w:lang w:val="el-GR"/>
        </w:rPr>
        <w:t xml:space="preserve">, </w:t>
      </w:r>
      <w:r>
        <w:rPr>
          <w:color w:val="222222"/>
          <w:shd w:val="clear" w:color="auto" w:fill="FFFFFF"/>
          <w:lang w:val="en-US"/>
        </w:rPr>
        <w:t>Purdue</w:t>
      </w:r>
      <w:r w:rsidRPr="00BF0161">
        <w:rPr>
          <w:color w:val="222222"/>
          <w:shd w:val="clear" w:color="auto" w:fill="FFFFFF"/>
          <w:lang w:val="el-GR"/>
        </w:rPr>
        <w:t xml:space="preserve">, </w:t>
      </w:r>
      <w:r>
        <w:rPr>
          <w:color w:val="222222"/>
          <w:shd w:val="clear" w:color="auto" w:fill="FFFFFF"/>
          <w:lang w:val="en-US"/>
        </w:rPr>
        <w:t>Kelsey</w:t>
      </w:r>
      <w:r w:rsidRPr="00BF0161">
        <w:rPr>
          <w:color w:val="222222"/>
          <w:shd w:val="clear" w:color="auto" w:fill="FFFFFF"/>
          <w:lang w:val="el-GR"/>
        </w:rPr>
        <w:t xml:space="preserve"> </w:t>
      </w:r>
      <w:r>
        <w:rPr>
          <w:color w:val="222222"/>
          <w:shd w:val="clear" w:color="auto" w:fill="FFFFFF"/>
          <w:lang w:val="en-US"/>
        </w:rPr>
        <w:t>et</w:t>
      </w:r>
      <w:r w:rsidRPr="00BF0161">
        <w:rPr>
          <w:color w:val="222222"/>
          <w:shd w:val="clear" w:color="auto" w:fill="FFFFFF"/>
          <w:lang w:val="el-GR"/>
        </w:rPr>
        <w:t xml:space="preserve"> </w:t>
      </w:r>
      <w:r>
        <w:rPr>
          <w:color w:val="222222"/>
          <w:shd w:val="clear" w:color="auto" w:fill="FFFFFF"/>
          <w:lang w:val="en-US"/>
        </w:rPr>
        <w:t>al</w:t>
      </w:r>
      <w:r w:rsidRPr="00BF0161">
        <w:rPr>
          <w:color w:val="222222"/>
          <w:shd w:val="clear" w:color="auto" w:fill="FFFFFF"/>
          <w:lang w:val="el-GR"/>
        </w:rPr>
        <w:t>, 2009).  Έχουν καταγραφεί από ασθενείς στοιχεία σχετικά με δυσφαγία και πριν και μετά από θεραπεία του καρκίνου (</w:t>
      </w:r>
      <w:proofErr w:type="spellStart"/>
      <w:r>
        <w:rPr>
          <w:color w:val="222222"/>
          <w:shd w:val="clear" w:color="auto" w:fill="FFFFFF"/>
          <w:lang w:val="en-US"/>
        </w:rPr>
        <w:t>Pauloski</w:t>
      </w:r>
      <w:proofErr w:type="spellEnd"/>
      <w:r w:rsidRPr="00BF0161">
        <w:rPr>
          <w:color w:val="222222"/>
          <w:shd w:val="clear" w:color="auto" w:fill="FFFFFF"/>
          <w:lang w:val="el-GR"/>
        </w:rPr>
        <w:t xml:space="preserve">, </w:t>
      </w:r>
      <w:proofErr w:type="spellStart"/>
      <w:r>
        <w:rPr>
          <w:color w:val="222222"/>
          <w:shd w:val="clear" w:color="auto" w:fill="FFFFFF"/>
          <w:lang w:val="en-US"/>
        </w:rPr>
        <w:t>Rademaker</w:t>
      </w:r>
      <w:proofErr w:type="spellEnd"/>
      <w:r w:rsidRPr="00BF0161">
        <w:rPr>
          <w:color w:val="222222"/>
          <w:shd w:val="clear" w:color="auto" w:fill="FFFFFF"/>
          <w:lang w:val="el-GR"/>
        </w:rPr>
        <w:t xml:space="preserve">, </w:t>
      </w:r>
      <w:proofErr w:type="spellStart"/>
      <w:r>
        <w:rPr>
          <w:color w:val="222222"/>
          <w:shd w:val="clear" w:color="auto" w:fill="FFFFFF"/>
          <w:lang w:val="en-US"/>
        </w:rPr>
        <w:t>Logemann</w:t>
      </w:r>
      <w:proofErr w:type="spellEnd"/>
      <w:r w:rsidRPr="00BF0161">
        <w:rPr>
          <w:color w:val="222222"/>
          <w:shd w:val="clear" w:color="auto" w:fill="FFFFFF"/>
          <w:lang w:val="el-GR"/>
        </w:rPr>
        <w:t xml:space="preserve"> </w:t>
      </w:r>
      <w:r>
        <w:rPr>
          <w:color w:val="222222"/>
          <w:shd w:val="clear" w:color="auto" w:fill="FFFFFF"/>
          <w:lang w:val="en-US"/>
        </w:rPr>
        <w:t>et</w:t>
      </w:r>
      <w:r w:rsidRPr="00BF0161">
        <w:rPr>
          <w:color w:val="222222"/>
          <w:shd w:val="clear" w:color="auto" w:fill="FFFFFF"/>
          <w:lang w:val="el-GR"/>
        </w:rPr>
        <w:t xml:space="preserve"> </w:t>
      </w:r>
      <w:r>
        <w:rPr>
          <w:color w:val="222222"/>
          <w:shd w:val="clear" w:color="auto" w:fill="FFFFFF"/>
          <w:lang w:val="en-US"/>
        </w:rPr>
        <w:t>al</w:t>
      </w:r>
      <w:r w:rsidRPr="00BF0161">
        <w:rPr>
          <w:color w:val="222222"/>
          <w:shd w:val="clear" w:color="auto" w:fill="FFFFFF"/>
          <w:lang w:val="el-GR"/>
        </w:rPr>
        <w:t>, 2002). Σε ένα δείγμα 122 ασθενών που έχουν υποβληθεί σε ακτινοθεραπεία, βρέθηκε ότι το 38.5% εμφανίζει δυσφαγία. Μάλιστα</w:t>
      </w:r>
      <w:r w:rsidR="00B72736" w:rsidRPr="00BF0161">
        <w:rPr>
          <w:color w:val="222222"/>
          <w:shd w:val="clear" w:color="auto" w:fill="FFFFFF"/>
          <w:lang w:val="el-GR"/>
        </w:rPr>
        <w:t xml:space="preserve"> σε περιπτώσεις όπου το </w:t>
      </w:r>
      <w:proofErr w:type="spellStart"/>
      <w:r w:rsidR="00B72736" w:rsidRPr="00BF0161">
        <w:rPr>
          <w:color w:val="222222"/>
          <w:shd w:val="clear" w:color="auto" w:fill="FFFFFF"/>
          <w:lang w:val="el-GR"/>
        </w:rPr>
        <w:t>άτομ</w:t>
      </w:r>
      <w:proofErr w:type="spellEnd"/>
      <w:r w:rsidR="00B72736">
        <w:rPr>
          <w:color w:val="222222"/>
          <w:shd w:val="clear" w:color="auto" w:fill="FFFFFF"/>
        </w:rPr>
        <w:t>o</w:t>
      </w:r>
      <w:r w:rsidRPr="00BF0161">
        <w:rPr>
          <w:color w:val="222222"/>
          <w:shd w:val="clear" w:color="auto" w:fill="FFFFFF"/>
          <w:lang w:val="el-GR"/>
        </w:rPr>
        <w:t xml:space="preserve"> συμμετέχει και σε χημειοθεραπεία, αυξάνεται η πιθανότητα για μακροχρόνια δυσφαγία (</w:t>
      </w:r>
      <w:proofErr w:type="spellStart"/>
      <w:r>
        <w:rPr>
          <w:color w:val="222222"/>
          <w:shd w:val="clear" w:color="auto" w:fill="FFFFFF"/>
          <w:lang w:val="en-US"/>
        </w:rPr>
        <w:t>Caudell</w:t>
      </w:r>
      <w:proofErr w:type="spellEnd"/>
      <w:r w:rsidRPr="00BF0161">
        <w:rPr>
          <w:color w:val="222222"/>
          <w:shd w:val="clear" w:color="auto" w:fill="FFFFFF"/>
          <w:lang w:val="el-GR"/>
        </w:rPr>
        <w:t xml:space="preserve">, </w:t>
      </w:r>
      <w:proofErr w:type="spellStart"/>
      <w:r>
        <w:rPr>
          <w:color w:val="222222"/>
          <w:shd w:val="clear" w:color="auto" w:fill="FFFFFF"/>
          <w:lang w:val="en-US"/>
        </w:rPr>
        <w:t>Schaner</w:t>
      </w:r>
      <w:proofErr w:type="spellEnd"/>
      <w:r w:rsidRPr="00BF0161">
        <w:rPr>
          <w:color w:val="222222"/>
          <w:shd w:val="clear" w:color="auto" w:fill="FFFFFF"/>
          <w:lang w:val="el-GR"/>
        </w:rPr>
        <w:t xml:space="preserve">, </w:t>
      </w:r>
      <w:r>
        <w:rPr>
          <w:color w:val="222222"/>
          <w:shd w:val="clear" w:color="auto" w:fill="FFFFFF"/>
          <w:lang w:val="en-US"/>
        </w:rPr>
        <w:t>Meredith</w:t>
      </w:r>
      <w:r w:rsidRPr="00BF0161">
        <w:rPr>
          <w:color w:val="222222"/>
          <w:shd w:val="clear" w:color="auto" w:fill="FFFFFF"/>
          <w:lang w:val="el-GR"/>
        </w:rPr>
        <w:t xml:space="preserve"> </w:t>
      </w:r>
      <w:r>
        <w:rPr>
          <w:color w:val="222222"/>
          <w:shd w:val="clear" w:color="auto" w:fill="FFFFFF"/>
          <w:lang w:val="en-US"/>
        </w:rPr>
        <w:t>et</w:t>
      </w:r>
      <w:r w:rsidRPr="00BF0161">
        <w:rPr>
          <w:color w:val="222222"/>
          <w:shd w:val="clear" w:color="auto" w:fill="FFFFFF"/>
          <w:lang w:val="el-GR"/>
        </w:rPr>
        <w:t xml:space="preserve"> </w:t>
      </w:r>
      <w:r>
        <w:rPr>
          <w:color w:val="222222"/>
          <w:shd w:val="clear" w:color="auto" w:fill="FFFFFF"/>
          <w:lang w:val="en-US"/>
        </w:rPr>
        <w:t>al</w:t>
      </w:r>
      <w:r w:rsidRPr="00BF0161">
        <w:rPr>
          <w:color w:val="222222"/>
          <w:shd w:val="clear" w:color="auto" w:fill="FFFFFF"/>
          <w:lang w:val="el-GR"/>
        </w:rPr>
        <w:t>, 2009).</w:t>
      </w:r>
    </w:p>
    <w:p w14:paraId="051A48A3" w14:textId="77777777" w:rsidR="00146CE2" w:rsidRPr="00BF0161" w:rsidRDefault="00DB0AA3" w:rsidP="008A3DF9">
      <w:pPr>
        <w:spacing w:after="120" w:line="360" w:lineRule="auto"/>
        <w:jc w:val="both"/>
        <w:rPr>
          <w:color w:val="222222"/>
          <w:shd w:val="clear" w:color="auto" w:fill="FFFFFF"/>
          <w:lang w:val="el-GR"/>
        </w:rPr>
      </w:pPr>
      <w:r w:rsidRPr="00BF0161">
        <w:rPr>
          <w:shd w:val="clear" w:color="auto" w:fill="FFFFFF"/>
          <w:lang w:val="el-GR"/>
        </w:rPr>
        <w:t xml:space="preserve">Για την ανίχνευση δυσφαγίας μπορεί να χρησιμοποιηθούν και ερωτηματολόγια, είτε ανιχνευτικού τύπου, που καθοδηγούν τους κλινικούς για περαιτέρω αξιολόγηση, είτε ερωτηματολόγια σχετικά με την ποιότητα ζωής των ατόμων. </w:t>
      </w:r>
      <w:proofErr w:type="spellStart"/>
      <w:r>
        <w:rPr>
          <w:shd w:val="clear" w:color="auto" w:fill="FFFFFF"/>
        </w:rPr>
        <w:t>Κά</w:t>
      </w:r>
      <w:proofErr w:type="spellEnd"/>
      <w:r>
        <w:rPr>
          <w:shd w:val="clear" w:color="auto" w:fill="FFFFFF"/>
        </w:rPr>
        <w:t>ποια</w:t>
      </w:r>
      <w:r>
        <w:rPr>
          <w:shd w:val="clear" w:color="auto" w:fill="FFFFFF"/>
          <w:lang w:val="en-US"/>
        </w:rPr>
        <w:t xml:space="preserve"> </w:t>
      </w:r>
      <w:proofErr w:type="spellStart"/>
      <w:r>
        <w:rPr>
          <w:shd w:val="clear" w:color="auto" w:fill="FFFFFF"/>
        </w:rPr>
        <w:t>ερωτημ</w:t>
      </w:r>
      <w:proofErr w:type="spellEnd"/>
      <w:r>
        <w:rPr>
          <w:shd w:val="clear" w:color="auto" w:fill="FFFFFF"/>
        </w:rPr>
        <w:t>ατολόγια</w:t>
      </w:r>
      <w:r>
        <w:rPr>
          <w:shd w:val="clear" w:color="auto" w:fill="FFFFFF"/>
          <w:lang w:val="en-US"/>
        </w:rPr>
        <w:t xml:space="preserve"> </w:t>
      </w:r>
      <w:r>
        <w:rPr>
          <w:shd w:val="clear" w:color="auto" w:fill="FFFFFF"/>
        </w:rPr>
        <w:t>α</w:t>
      </w:r>
      <w:proofErr w:type="spellStart"/>
      <w:r>
        <w:rPr>
          <w:shd w:val="clear" w:color="auto" w:fill="FFFFFF"/>
        </w:rPr>
        <w:t>νιχνευτικού</w:t>
      </w:r>
      <w:proofErr w:type="spellEnd"/>
      <w:r>
        <w:rPr>
          <w:shd w:val="clear" w:color="auto" w:fill="FFFFFF"/>
          <w:lang w:val="en-US"/>
        </w:rPr>
        <w:t xml:space="preserve"> </w:t>
      </w:r>
      <w:proofErr w:type="spellStart"/>
      <w:r>
        <w:rPr>
          <w:shd w:val="clear" w:color="auto" w:fill="FFFFFF"/>
        </w:rPr>
        <w:t>τύ</w:t>
      </w:r>
      <w:proofErr w:type="spellEnd"/>
      <w:r>
        <w:rPr>
          <w:shd w:val="clear" w:color="auto" w:fill="FFFFFF"/>
        </w:rPr>
        <w:t>που</w:t>
      </w:r>
      <w:r>
        <w:rPr>
          <w:shd w:val="clear" w:color="auto" w:fill="FFFFFF"/>
          <w:lang w:val="en-US"/>
        </w:rPr>
        <w:t xml:space="preserve"> </w:t>
      </w:r>
      <w:r>
        <w:rPr>
          <w:shd w:val="clear" w:color="auto" w:fill="FFFFFF"/>
        </w:rPr>
        <w:t>μπ</w:t>
      </w:r>
      <w:proofErr w:type="spellStart"/>
      <w:r>
        <w:rPr>
          <w:shd w:val="clear" w:color="auto" w:fill="FFFFFF"/>
        </w:rPr>
        <w:t>ορεί</w:t>
      </w:r>
      <w:proofErr w:type="spellEnd"/>
      <w:r>
        <w:rPr>
          <w:shd w:val="clear" w:color="auto" w:fill="FFFFFF"/>
          <w:lang w:val="en-US"/>
        </w:rPr>
        <w:t xml:space="preserve"> </w:t>
      </w:r>
      <w:r>
        <w:rPr>
          <w:shd w:val="clear" w:color="auto" w:fill="FFFFFF"/>
        </w:rPr>
        <w:t>να</w:t>
      </w:r>
      <w:r>
        <w:rPr>
          <w:shd w:val="clear" w:color="auto" w:fill="FFFFFF"/>
          <w:lang w:val="en-US"/>
        </w:rPr>
        <w:t xml:space="preserve"> </w:t>
      </w:r>
      <w:proofErr w:type="spellStart"/>
      <w:r>
        <w:rPr>
          <w:shd w:val="clear" w:color="auto" w:fill="FFFFFF"/>
        </w:rPr>
        <w:t>είν</w:t>
      </w:r>
      <w:proofErr w:type="spellEnd"/>
      <w:r>
        <w:rPr>
          <w:shd w:val="clear" w:color="auto" w:fill="FFFFFF"/>
        </w:rPr>
        <w:t>αι</w:t>
      </w:r>
      <w:r>
        <w:rPr>
          <w:shd w:val="clear" w:color="auto" w:fill="FFFFFF"/>
          <w:lang w:val="en-US"/>
        </w:rPr>
        <w:t xml:space="preserve"> </w:t>
      </w:r>
      <w:proofErr w:type="spellStart"/>
      <w:r>
        <w:rPr>
          <w:shd w:val="clear" w:color="auto" w:fill="FFFFFF"/>
        </w:rPr>
        <w:t>το</w:t>
      </w:r>
      <w:proofErr w:type="spellEnd"/>
      <w:r>
        <w:rPr>
          <w:shd w:val="clear" w:color="auto" w:fill="FFFFFF"/>
          <w:lang w:val="en-US"/>
        </w:rPr>
        <w:t xml:space="preserve"> </w:t>
      </w:r>
      <w:r>
        <w:rPr>
          <w:lang w:val="en-US"/>
        </w:rPr>
        <w:t xml:space="preserve">Dysphagia in Head and Neck Cancer (Garcia – Peris, P., et al., 2007), </w:t>
      </w:r>
      <w:proofErr w:type="spellStart"/>
      <w:r>
        <w:t>το</w:t>
      </w:r>
      <w:proofErr w:type="spellEnd"/>
      <w:r>
        <w:rPr>
          <w:lang w:val="en-US"/>
        </w:rPr>
        <w:t xml:space="preserve"> Swallowing in Oral and Oropharyngeal Cancer Patients</w:t>
      </w:r>
      <w:r>
        <w:rPr>
          <w:rFonts w:cs="Calibri"/>
          <w:lang w:val="en-US"/>
        </w:rPr>
        <w:t xml:space="preserve"> </w:t>
      </w:r>
      <w:r>
        <w:rPr>
          <w:szCs w:val="20"/>
          <w:lang w:val="en-US"/>
        </w:rPr>
        <w:t>(</w:t>
      </w:r>
      <w:proofErr w:type="spellStart"/>
      <w:r>
        <w:rPr>
          <w:szCs w:val="20"/>
          <w:lang w:val="en-US"/>
        </w:rPr>
        <w:t>Dwived</w:t>
      </w:r>
      <w:proofErr w:type="spellEnd"/>
      <w:r>
        <w:rPr>
          <w:szCs w:val="20"/>
          <w:lang w:val="en-US"/>
        </w:rPr>
        <w:t xml:space="preserve">, </w:t>
      </w:r>
      <w:proofErr w:type="spellStart"/>
      <w:r>
        <w:rPr>
          <w:szCs w:val="20"/>
          <w:lang w:val="en-US"/>
        </w:rPr>
        <w:t>St.Rose</w:t>
      </w:r>
      <w:proofErr w:type="spellEnd"/>
      <w:r>
        <w:rPr>
          <w:szCs w:val="20"/>
          <w:lang w:val="en-US"/>
        </w:rPr>
        <w:t xml:space="preserve">, Chisholm et al, 2012), </w:t>
      </w:r>
      <w:proofErr w:type="spellStart"/>
      <w:r>
        <w:rPr>
          <w:szCs w:val="20"/>
        </w:rPr>
        <w:t>το</w:t>
      </w:r>
      <w:proofErr w:type="spellEnd"/>
      <w:r>
        <w:rPr>
          <w:szCs w:val="20"/>
          <w:lang w:val="en-US"/>
        </w:rPr>
        <w:t xml:space="preserve"> </w:t>
      </w:r>
      <w:r>
        <w:rPr>
          <w:lang w:val="en-US"/>
        </w:rPr>
        <w:t>The DYMUS questionnaire for the assessment of</w:t>
      </w:r>
      <w:r>
        <w:rPr>
          <w:szCs w:val="20"/>
          <w:lang w:val="en-US"/>
        </w:rPr>
        <w:t xml:space="preserve"> </w:t>
      </w:r>
      <w:r>
        <w:rPr>
          <w:lang w:val="en-US"/>
        </w:rPr>
        <w:lastRenderedPageBreak/>
        <w:t>dysphagia in multiple sclerosis</w:t>
      </w:r>
      <w:r>
        <w:rPr>
          <w:szCs w:val="20"/>
          <w:lang w:val="en-US"/>
        </w:rPr>
        <w:t xml:space="preserve"> </w:t>
      </w:r>
      <w:r>
        <w:rPr>
          <w:lang w:val="en-US"/>
        </w:rPr>
        <w:t xml:space="preserve">(Bergamaschi, </w:t>
      </w:r>
      <w:proofErr w:type="spellStart"/>
      <w:r>
        <w:rPr>
          <w:lang w:val="en-US"/>
        </w:rPr>
        <w:t>Crivelli</w:t>
      </w:r>
      <w:proofErr w:type="spellEnd"/>
      <w:r>
        <w:rPr>
          <w:lang w:val="en-US"/>
        </w:rPr>
        <w:t xml:space="preserve">, </w:t>
      </w:r>
      <w:proofErr w:type="spellStart"/>
      <w:r>
        <w:rPr>
          <w:lang w:val="en-US"/>
        </w:rPr>
        <w:t>Rezzani</w:t>
      </w:r>
      <w:proofErr w:type="spellEnd"/>
      <w:r>
        <w:rPr>
          <w:lang w:val="en-US"/>
        </w:rPr>
        <w:t xml:space="preserve"> et al, 2008), </w:t>
      </w:r>
      <w:proofErr w:type="spellStart"/>
      <w:r>
        <w:t>το</w:t>
      </w:r>
      <w:proofErr w:type="spellEnd"/>
      <w:r>
        <w:rPr>
          <w:lang w:val="en-US"/>
        </w:rPr>
        <w:t xml:space="preserve"> </w:t>
      </w:r>
      <w:r>
        <w:rPr>
          <w:szCs w:val="31"/>
          <w:lang w:val="en-US"/>
        </w:rPr>
        <w:t>Swallowing Disturbance Questionnaire for Detecting Dysphagia</w:t>
      </w:r>
      <w:r>
        <w:rPr>
          <w:lang w:val="en-US"/>
        </w:rPr>
        <w:t xml:space="preserve"> </w:t>
      </w:r>
      <w:r>
        <w:rPr>
          <w:szCs w:val="20"/>
          <w:lang w:val="en-US"/>
        </w:rPr>
        <w:t xml:space="preserve">(Cohen &amp; Manor, 2011). </w:t>
      </w:r>
      <w:r w:rsidRPr="00BF0161">
        <w:rPr>
          <w:szCs w:val="20"/>
          <w:lang w:val="el-GR"/>
        </w:rPr>
        <w:t xml:space="preserve">Θα πρέπει, όμως, να σημειωθεί ότι τα ερωτηματολόγια ως μέσω αξιολόγησης είναι υποκειμενικά και ίσως να μην προσφέρουν αληθείς πληροφορίες. Οι </w:t>
      </w:r>
      <w:proofErr w:type="spellStart"/>
      <w:r>
        <w:rPr>
          <w:color w:val="222222"/>
          <w:shd w:val="clear" w:color="auto" w:fill="FFFFFF"/>
          <w:lang w:val="en-US"/>
        </w:rPr>
        <w:t>Roden</w:t>
      </w:r>
      <w:proofErr w:type="spellEnd"/>
      <w:r w:rsidRPr="00BF0161">
        <w:rPr>
          <w:color w:val="222222"/>
          <w:shd w:val="clear" w:color="auto" w:fill="FFFFFF"/>
          <w:lang w:val="el-GR"/>
        </w:rPr>
        <w:t xml:space="preserve"> και </w:t>
      </w:r>
      <w:r>
        <w:rPr>
          <w:color w:val="222222"/>
          <w:shd w:val="clear" w:color="auto" w:fill="FFFFFF"/>
          <w:lang w:val="en-US"/>
        </w:rPr>
        <w:t>Altman</w:t>
      </w:r>
      <w:r w:rsidRPr="00BF0161">
        <w:rPr>
          <w:color w:val="222222"/>
          <w:shd w:val="clear" w:color="auto" w:fill="FFFFFF"/>
          <w:lang w:val="el-GR"/>
        </w:rPr>
        <w:t xml:space="preserve"> (2013) υποστηρίζουν ότι οι υποκειμενικές μετρήσεις από ερωτηματολόγια που δόθηκαν σε ασθενείς, τείνουν να “υποθάλπουν” πληροφορίες, συγκριτικά με πιο αντικειμενικές μεθόδους αξιολόγησης. </w:t>
      </w:r>
    </w:p>
    <w:p w14:paraId="5C613AE7" w14:textId="77777777" w:rsidR="00146CE2" w:rsidRDefault="00DB0AA3" w:rsidP="008A3DF9">
      <w:pPr>
        <w:pStyle w:val="Web"/>
        <w:shd w:val="clear" w:color="auto" w:fill="FFFFFF"/>
        <w:spacing w:after="120" w:line="360" w:lineRule="auto"/>
        <w:jc w:val="both"/>
        <w:rPr>
          <w:szCs w:val="26"/>
        </w:rPr>
      </w:pPr>
      <w:r>
        <w:rPr>
          <w:szCs w:val="26"/>
        </w:rPr>
        <w:t xml:space="preserve">Ο σκοπός της παρούσας έρευνας είναι η μετάφραση, προσαρμογή και πιλοτική εφαρμογή σε τυπικό πληθυσμό του ερωτηματολογίου </w:t>
      </w:r>
      <w:r>
        <w:rPr>
          <w:lang w:val="en-US"/>
        </w:rPr>
        <w:t>Dysphagia</w:t>
      </w:r>
      <w:r>
        <w:t xml:space="preserve"> </w:t>
      </w:r>
      <w:r>
        <w:rPr>
          <w:lang w:val="en-US"/>
        </w:rPr>
        <w:t>in</w:t>
      </w:r>
      <w:r>
        <w:t xml:space="preserve"> </w:t>
      </w:r>
      <w:r>
        <w:rPr>
          <w:lang w:val="en-US"/>
        </w:rPr>
        <w:t>Head</w:t>
      </w:r>
      <w:r>
        <w:t xml:space="preserve"> </w:t>
      </w:r>
      <w:r>
        <w:rPr>
          <w:lang w:val="en-US"/>
        </w:rPr>
        <w:t>and</w:t>
      </w:r>
      <w:r>
        <w:t xml:space="preserve"> </w:t>
      </w:r>
      <w:r>
        <w:rPr>
          <w:lang w:val="en-US"/>
        </w:rPr>
        <w:t>Neck</w:t>
      </w:r>
      <w:r>
        <w:t xml:space="preserve"> </w:t>
      </w:r>
      <w:r>
        <w:rPr>
          <w:lang w:val="en-US"/>
        </w:rPr>
        <w:t>Cancer</w:t>
      </w:r>
      <w:r>
        <w:rPr>
          <w:szCs w:val="26"/>
        </w:rPr>
        <w:t xml:space="preserve">. Αυτό θα αποτελέσει το θεμελιώδες βήμα σε θέματα διαγνωστικού και θεραπευτικού χαρακτήρα στις διαταραχές </w:t>
      </w:r>
      <w:r>
        <w:rPr>
          <w:lang w:val="en-US"/>
        </w:rPr>
        <w:t>Dysphagia</w:t>
      </w:r>
      <w:r>
        <w:t xml:space="preserve"> </w:t>
      </w:r>
      <w:r>
        <w:rPr>
          <w:lang w:val="en-US"/>
        </w:rPr>
        <w:t>in</w:t>
      </w:r>
      <w:r>
        <w:t xml:space="preserve"> </w:t>
      </w:r>
      <w:r>
        <w:rPr>
          <w:lang w:val="en-US"/>
        </w:rPr>
        <w:t>Head</w:t>
      </w:r>
      <w:r>
        <w:t xml:space="preserve"> </w:t>
      </w:r>
      <w:r>
        <w:rPr>
          <w:lang w:val="en-US"/>
        </w:rPr>
        <w:t>and</w:t>
      </w:r>
      <w:r>
        <w:t xml:space="preserve"> </w:t>
      </w:r>
      <w:r>
        <w:rPr>
          <w:lang w:val="en-US"/>
        </w:rPr>
        <w:t>Neck</w:t>
      </w:r>
      <w:r>
        <w:t xml:space="preserve"> </w:t>
      </w:r>
      <w:r>
        <w:rPr>
          <w:lang w:val="en-US"/>
        </w:rPr>
        <w:t>Cancer</w:t>
      </w:r>
      <w:r>
        <w:t xml:space="preserve"> (</w:t>
      </w:r>
      <w:r>
        <w:rPr>
          <w:szCs w:val="26"/>
        </w:rPr>
        <w:t>σύμφωνα με τις σύγχρονες διεπιστημονικές τάσεις</w:t>
      </w:r>
      <w:r w:rsidR="00325E72">
        <w:rPr>
          <w:szCs w:val="26"/>
        </w:rPr>
        <w:t>)</w:t>
      </w:r>
      <w:r>
        <w:rPr>
          <w:szCs w:val="26"/>
        </w:rPr>
        <w:t>.</w:t>
      </w:r>
    </w:p>
    <w:p w14:paraId="191D97C5" w14:textId="77777777" w:rsidR="00146CE2" w:rsidRPr="00BF0161" w:rsidRDefault="00146CE2">
      <w:pPr>
        <w:spacing w:after="120" w:line="360" w:lineRule="auto"/>
        <w:jc w:val="both"/>
        <w:rPr>
          <w:b/>
          <w:lang w:val="el-GR"/>
        </w:rPr>
      </w:pPr>
    </w:p>
    <w:p w14:paraId="1F5430F7" w14:textId="77777777" w:rsidR="00146CE2" w:rsidRPr="00BF0161" w:rsidRDefault="00DB0AA3">
      <w:pPr>
        <w:spacing w:after="120" w:line="360" w:lineRule="auto"/>
        <w:jc w:val="both"/>
        <w:rPr>
          <w:b/>
          <w:lang w:val="el-GR"/>
        </w:rPr>
      </w:pPr>
      <w:r w:rsidRPr="00BF0161">
        <w:rPr>
          <w:b/>
          <w:lang w:val="el-GR"/>
        </w:rPr>
        <w:t xml:space="preserve">Ερευνητικά ερωτήματα/ Υποθέσεις εργασίας </w:t>
      </w:r>
    </w:p>
    <w:p w14:paraId="7BE749BF" w14:textId="77777777" w:rsidR="005D0950" w:rsidRPr="00BF0161" w:rsidRDefault="00DB0AA3" w:rsidP="005D0950">
      <w:pPr>
        <w:spacing w:after="120" w:line="360" w:lineRule="auto"/>
        <w:jc w:val="both"/>
        <w:rPr>
          <w:szCs w:val="26"/>
          <w:lang w:val="el-GR"/>
        </w:rPr>
      </w:pPr>
      <w:r w:rsidRPr="00BF0161">
        <w:rPr>
          <w:szCs w:val="26"/>
          <w:lang w:val="el-GR"/>
        </w:rPr>
        <w:t>Για την τρέχουσα έρευνα απαντήσεις θα δοθούν στα παρακάτω ερευνητικά ερωτήματα:</w:t>
      </w:r>
      <w:r>
        <w:rPr>
          <w:rStyle w:val="apple-converted-space"/>
          <w:szCs w:val="26"/>
        </w:rPr>
        <w:t> </w:t>
      </w:r>
    </w:p>
    <w:p w14:paraId="7305124E" w14:textId="77777777" w:rsidR="005D0950" w:rsidRPr="00BF0161" w:rsidRDefault="00DB0AA3" w:rsidP="005D0950">
      <w:pPr>
        <w:spacing w:after="120" w:line="360" w:lineRule="auto"/>
        <w:jc w:val="both"/>
        <w:rPr>
          <w:szCs w:val="26"/>
          <w:lang w:val="el-GR"/>
        </w:rPr>
      </w:pPr>
      <w:r w:rsidRPr="00BF0161">
        <w:rPr>
          <w:szCs w:val="26"/>
          <w:lang w:val="el-GR"/>
        </w:rPr>
        <w:lastRenderedPageBreak/>
        <w:t xml:space="preserve">Η1 Ποιες είναι οι κανονιστικές τιμές του ερωτηματολογίου </w:t>
      </w:r>
      <w:r>
        <w:rPr>
          <w:lang w:val="en-US"/>
        </w:rPr>
        <w:t>Dysphagia</w:t>
      </w:r>
      <w:r w:rsidRPr="00BF0161">
        <w:rPr>
          <w:lang w:val="el-GR"/>
        </w:rPr>
        <w:t xml:space="preserve"> </w:t>
      </w:r>
      <w:r>
        <w:rPr>
          <w:lang w:val="en-US"/>
        </w:rPr>
        <w:t>in</w:t>
      </w:r>
      <w:r w:rsidRPr="00BF0161">
        <w:rPr>
          <w:lang w:val="el-GR"/>
        </w:rPr>
        <w:t xml:space="preserve"> </w:t>
      </w:r>
      <w:r>
        <w:rPr>
          <w:lang w:val="en-US"/>
        </w:rPr>
        <w:t>Head</w:t>
      </w:r>
      <w:r w:rsidRPr="00BF0161">
        <w:rPr>
          <w:lang w:val="el-GR"/>
        </w:rPr>
        <w:t xml:space="preserve"> </w:t>
      </w:r>
      <w:r>
        <w:rPr>
          <w:lang w:val="en-US"/>
        </w:rPr>
        <w:t>and</w:t>
      </w:r>
      <w:r w:rsidRPr="00BF0161">
        <w:rPr>
          <w:lang w:val="el-GR"/>
        </w:rPr>
        <w:t xml:space="preserve"> </w:t>
      </w:r>
      <w:r>
        <w:rPr>
          <w:lang w:val="en-US"/>
        </w:rPr>
        <w:t>Neck</w:t>
      </w:r>
      <w:r w:rsidRPr="00BF0161">
        <w:rPr>
          <w:lang w:val="el-GR"/>
        </w:rPr>
        <w:t xml:space="preserve"> </w:t>
      </w:r>
      <w:r>
        <w:rPr>
          <w:lang w:val="en-US"/>
        </w:rPr>
        <w:t>Cancer</w:t>
      </w:r>
      <w:r w:rsidRPr="00BF0161">
        <w:rPr>
          <w:lang w:val="el-GR"/>
        </w:rPr>
        <w:t xml:space="preserve"> </w:t>
      </w:r>
      <w:r w:rsidRPr="00BF0161">
        <w:rPr>
          <w:szCs w:val="26"/>
          <w:lang w:val="el-GR"/>
        </w:rPr>
        <w:t>και των α</w:t>
      </w:r>
      <w:r w:rsidR="003868F4">
        <w:rPr>
          <w:rStyle w:val="textexposedshow"/>
          <w:szCs w:val="26"/>
          <w:lang w:val="el-GR"/>
        </w:rPr>
        <w:t>ποκλίσεώ</w:t>
      </w:r>
      <w:r w:rsidRPr="00BF0161">
        <w:rPr>
          <w:rStyle w:val="textexposedshow"/>
          <w:szCs w:val="26"/>
          <w:lang w:val="el-GR"/>
        </w:rPr>
        <w:t xml:space="preserve">ν </w:t>
      </w:r>
      <w:r w:rsidR="003868F4">
        <w:rPr>
          <w:rStyle w:val="textexposedshow"/>
          <w:szCs w:val="26"/>
          <w:lang w:val="el-GR"/>
        </w:rPr>
        <w:t>του</w:t>
      </w:r>
      <w:r w:rsidR="00860762" w:rsidRPr="00BF0161">
        <w:rPr>
          <w:rStyle w:val="textexposedshow"/>
          <w:szCs w:val="26"/>
          <w:lang w:val="el-GR"/>
        </w:rPr>
        <w:t xml:space="preserve"> σε ενήλικες ηλικίας 18 ετών και άνω</w:t>
      </w:r>
      <w:r w:rsidRPr="00BF0161">
        <w:rPr>
          <w:rStyle w:val="textexposedshow"/>
          <w:szCs w:val="26"/>
          <w:lang w:val="el-GR"/>
        </w:rPr>
        <w:t>;</w:t>
      </w:r>
    </w:p>
    <w:p w14:paraId="249C2629" w14:textId="77777777" w:rsidR="005D0950" w:rsidRPr="00BF0161" w:rsidRDefault="00DB0AA3" w:rsidP="005D0950">
      <w:pPr>
        <w:spacing w:after="120" w:line="360" w:lineRule="auto"/>
        <w:jc w:val="both"/>
        <w:rPr>
          <w:szCs w:val="26"/>
          <w:lang w:val="el-GR"/>
        </w:rPr>
      </w:pPr>
      <w:r w:rsidRPr="00BF0161">
        <w:rPr>
          <w:rStyle w:val="textexposedshow"/>
          <w:szCs w:val="26"/>
          <w:lang w:val="el-GR"/>
        </w:rPr>
        <w:t xml:space="preserve">Η2 Υπάρχουν στατιστικά σημαντικές αλλαγές των σκορ του ερωτηματολογίου </w:t>
      </w:r>
      <w:r>
        <w:rPr>
          <w:lang w:val="en-US"/>
        </w:rPr>
        <w:t>Dysphagia</w:t>
      </w:r>
      <w:r w:rsidRPr="00BF0161">
        <w:rPr>
          <w:lang w:val="el-GR"/>
        </w:rPr>
        <w:t xml:space="preserve"> </w:t>
      </w:r>
      <w:r>
        <w:rPr>
          <w:lang w:val="en-US"/>
        </w:rPr>
        <w:t>in</w:t>
      </w:r>
      <w:r w:rsidRPr="00BF0161">
        <w:rPr>
          <w:lang w:val="el-GR"/>
        </w:rPr>
        <w:t xml:space="preserve"> </w:t>
      </w:r>
      <w:r>
        <w:rPr>
          <w:lang w:val="en-US"/>
        </w:rPr>
        <w:t>Head</w:t>
      </w:r>
      <w:r w:rsidRPr="00BF0161">
        <w:rPr>
          <w:lang w:val="el-GR"/>
        </w:rPr>
        <w:t xml:space="preserve"> </w:t>
      </w:r>
      <w:r>
        <w:rPr>
          <w:lang w:val="en-US"/>
        </w:rPr>
        <w:t>and</w:t>
      </w:r>
      <w:r w:rsidRPr="00BF0161">
        <w:rPr>
          <w:lang w:val="el-GR"/>
        </w:rPr>
        <w:t xml:space="preserve"> </w:t>
      </w:r>
      <w:r>
        <w:rPr>
          <w:lang w:val="en-US"/>
        </w:rPr>
        <w:t>Neck</w:t>
      </w:r>
      <w:r w:rsidRPr="00BF0161">
        <w:rPr>
          <w:lang w:val="el-GR"/>
        </w:rPr>
        <w:t xml:space="preserve"> </w:t>
      </w:r>
      <w:r>
        <w:rPr>
          <w:lang w:val="en-US"/>
        </w:rPr>
        <w:t>Cancer</w:t>
      </w:r>
      <w:r w:rsidRPr="00BF0161">
        <w:rPr>
          <w:lang w:val="el-GR"/>
        </w:rPr>
        <w:t xml:space="preserve"> </w:t>
      </w:r>
      <w:r w:rsidRPr="00BF0161">
        <w:rPr>
          <w:rStyle w:val="textexposedshow"/>
          <w:szCs w:val="26"/>
          <w:lang w:val="el-GR"/>
        </w:rPr>
        <w:t>σε σχέση με διάφορους παράγοντες όπως το φύλο και η ηλικία;</w:t>
      </w:r>
    </w:p>
    <w:p w14:paraId="1570B50F" w14:textId="77777777" w:rsidR="00146CE2" w:rsidRPr="00BF0161" w:rsidRDefault="00B44FD8" w:rsidP="005D0950">
      <w:pPr>
        <w:spacing w:after="120" w:line="360" w:lineRule="auto"/>
        <w:jc w:val="both"/>
        <w:rPr>
          <w:rStyle w:val="textexposedshow"/>
          <w:szCs w:val="26"/>
          <w:lang w:val="el-GR"/>
        </w:rPr>
      </w:pPr>
      <w:r w:rsidRPr="00BF0161">
        <w:rPr>
          <w:rStyle w:val="textexposedshow"/>
          <w:szCs w:val="26"/>
          <w:lang w:val="el-GR"/>
        </w:rPr>
        <w:t>Η3 Να ελεγχθεί  πιλοτικά η</w:t>
      </w:r>
      <w:r w:rsidR="00DB0AA3" w:rsidRPr="00BF0161">
        <w:rPr>
          <w:rStyle w:val="textexposedshow"/>
          <w:szCs w:val="26"/>
          <w:lang w:val="el-GR"/>
        </w:rPr>
        <w:t xml:space="preserve"> </w:t>
      </w:r>
      <w:proofErr w:type="spellStart"/>
      <w:r w:rsidR="00DB0AA3" w:rsidRPr="00BF0161">
        <w:rPr>
          <w:rStyle w:val="textexposedshow"/>
          <w:szCs w:val="26"/>
          <w:lang w:val="el-GR"/>
        </w:rPr>
        <w:t>καταλληλότητα</w:t>
      </w:r>
      <w:proofErr w:type="spellEnd"/>
      <w:r w:rsidR="00DB0AA3" w:rsidRPr="00BF0161">
        <w:rPr>
          <w:rStyle w:val="textexposedshow"/>
          <w:szCs w:val="26"/>
          <w:lang w:val="el-GR"/>
        </w:rPr>
        <w:t xml:space="preserve"> του ερωτηματολογίου </w:t>
      </w:r>
      <w:r w:rsidR="00DB0AA3">
        <w:rPr>
          <w:lang w:val="en-US"/>
        </w:rPr>
        <w:t>Dysphagia</w:t>
      </w:r>
      <w:r w:rsidR="00DB0AA3" w:rsidRPr="00BF0161">
        <w:rPr>
          <w:lang w:val="el-GR"/>
        </w:rPr>
        <w:t xml:space="preserve"> </w:t>
      </w:r>
      <w:r w:rsidR="00DB0AA3">
        <w:rPr>
          <w:lang w:val="en-US"/>
        </w:rPr>
        <w:t>in</w:t>
      </w:r>
      <w:r w:rsidR="00DB0AA3" w:rsidRPr="00BF0161">
        <w:rPr>
          <w:lang w:val="el-GR"/>
        </w:rPr>
        <w:t xml:space="preserve"> </w:t>
      </w:r>
      <w:r w:rsidR="00DB0AA3">
        <w:rPr>
          <w:lang w:val="en-US"/>
        </w:rPr>
        <w:t>Head</w:t>
      </w:r>
      <w:r w:rsidR="00DB0AA3" w:rsidRPr="00BF0161">
        <w:rPr>
          <w:lang w:val="el-GR"/>
        </w:rPr>
        <w:t xml:space="preserve"> </w:t>
      </w:r>
      <w:r w:rsidR="00DB0AA3">
        <w:rPr>
          <w:lang w:val="en-US"/>
        </w:rPr>
        <w:t>and</w:t>
      </w:r>
      <w:r w:rsidR="00DB0AA3" w:rsidRPr="00BF0161">
        <w:rPr>
          <w:lang w:val="el-GR"/>
        </w:rPr>
        <w:t xml:space="preserve"> </w:t>
      </w:r>
      <w:r w:rsidR="00DB0AA3">
        <w:rPr>
          <w:lang w:val="en-US"/>
        </w:rPr>
        <w:t>Neck</w:t>
      </w:r>
      <w:r w:rsidR="00DB0AA3" w:rsidRPr="00BF0161">
        <w:rPr>
          <w:lang w:val="el-GR"/>
        </w:rPr>
        <w:t xml:space="preserve"> </w:t>
      </w:r>
      <w:r w:rsidR="00DB0AA3">
        <w:rPr>
          <w:lang w:val="en-US"/>
        </w:rPr>
        <w:t>Cancer</w:t>
      </w:r>
      <w:r w:rsidR="00DB0AA3" w:rsidRPr="00BF0161">
        <w:rPr>
          <w:rStyle w:val="textexposedshow"/>
          <w:szCs w:val="26"/>
          <w:lang w:val="el-GR"/>
        </w:rPr>
        <w:t xml:space="preserve"> στην ελληνική κλινική πρακτική.</w:t>
      </w:r>
    </w:p>
    <w:p w14:paraId="1FDEC2D7" w14:textId="77777777" w:rsidR="008A3DF9" w:rsidRPr="00DA4172" w:rsidRDefault="008A3DF9">
      <w:pPr>
        <w:spacing w:after="120" w:line="360" w:lineRule="auto"/>
        <w:jc w:val="both"/>
        <w:rPr>
          <w:b/>
          <w:sz w:val="32"/>
          <w:lang w:val="el-GR"/>
        </w:rPr>
      </w:pPr>
    </w:p>
    <w:p w14:paraId="3FE56309" w14:textId="77777777" w:rsidR="008A3DF9" w:rsidRPr="00DA4172" w:rsidRDefault="008A3DF9">
      <w:pPr>
        <w:spacing w:after="120" w:line="360" w:lineRule="auto"/>
        <w:jc w:val="both"/>
        <w:rPr>
          <w:b/>
          <w:sz w:val="32"/>
          <w:lang w:val="el-GR"/>
        </w:rPr>
      </w:pPr>
    </w:p>
    <w:p w14:paraId="5E151B32" w14:textId="77777777" w:rsidR="008A3DF9" w:rsidRPr="00DA4172" w:rsidRDefault="008A3DF9">
      <w:pPr>
        <w:spacing w:after="120" w:line="360" w:lineRule="auto"/>
        <w:jc w:val="both"/>
        <w:rPr>
          <w:b/>
          <w:sz w:val="32"/>
          <w:lang w:val="el-GR"/>
        </w:rPr>
      </w:pPr>
    </w:p>
    <w:p w14:paraId="6AC13F94" w14:textId="77777777" w:rsidR="008A3DF9" w:rsidRPr="00DA4172" w:rsidRDefault="008A3DF9">
      <w:pPr>
        <w:spacing w:after="120" w:line="360" w:lineRule="auto"/>
        <w:jc w:val="both"/>
        <w:rPr>
          <w:b/>
          <w:sz w:val="32"/>
          <w:lang w:val="el-GR"/>
        </w:rPr>
      </w:pPr>
    </w:p>
    <w:p w14:paraId="12B0F89F" w14:textId="77777777" w:rsidR="008A3DF9" w:rsidRPr="00DA4172" w:rsidRDefault="008A3DF9">
      <w:pPr>
        <w:spacing w:after="120" w:line="360" w:lineRule="auto"/>
        <w:jc w:val="both"/>
        <w:rPr>
          <w:b/>
          <w:sz w:val="32"/>
          <w:lang w:val="el-GR"/>
        </w:rPr>
      </w:pPr>
    </w:p>
    <w:p w14:paraId="2A3E95CC" w14:textId="77777777" w:rsidR="00403EE9" w:rsidRPr="00DA4172" w:rsidRDefault="00403EE9">
      <w:pPr>
        <w:spacing w:after="120" w:line="360" w:lineRule="auto"/>
        <w:jc w:val="both"/>
        <w:rPr>
          <w:b/>
          <w:sz w:val="32"/>
          <w:lang w:val="el-GR"/>
        </w:rPr>
      </w:pPr>
    </w:p>
    <w:p w14:paraId="3E058921" w14:textId="77777777" w:rsidR="00146CE2" w:rsidRPr="00DA4172" w:rsidRDefault="00DB0AA3" w:rsidP="00203AC0">
      <w:pPr>
        <w:pStyle w:val="1"/>
        <w:spacing w:before="0" w:after="120" w:line="360" w:lineRule="auto"/>
        <w:rPr>
          <w:rFonts w:cs="Times New Roman"/>
          <w:b w:val="0"/>
          <w:lang w:val="el-GR"/>
        </w:rPr>
      </w:pPr>
      <w:bookmarkStart w:id="50" w:name="_Toc493323987"/>
      <w:r w:rsidRPr="00DA4172">
        <w:rPr>
          <w:rFonts w:cs="Times New Roman"/>
          <w:lang w:val="el-GR"/>
        </w:rPr>
        <w:lastRenderedPageBreak/>
        <w:t>Κεφάλαιο 2: Μεθοδολογία Έρευνας</w:t>
      </w:r>
      <w:bookmarkEnd w:id="50"/>
      <w:r w:rsidRPr="00DA4172">
        <w:rPr>
          <w:rFonts w:cs="Times New Roman"/>
          <w:lang w:val="el-GR"/>
        </w:rPr>
        <w:t xml:space="preserve"> </w:t>
      </w:r>
    </w:p>
    <w:p w14:paraId="756A7E8B" w14:textId="77777777" w:rsidR="00146CE2" w:rsidRPr="00456D14" w:rsidRDefault="00DB0AA3" w:rsidP="00456D14">
      <w:pPr>
        <w:pStyle w:val="2"/>
        <w:spacing w:before="0" w:line="360" w:lineRule="auto"/>
        <w:rPr>
          <w:b/>
          <w:sz w:val="28"/>
        </w:rPr>
      </w:pPr>
      <w:bookmarkStart w:id="51" w:name="_Toc493323988"/>
      <w:r w:rsidRPr="00456D14">
        <w:rPr>
          <w:b/>
          <w:sz w:val="28"/>
        </w:rPr>
        <w:t>2.1 Σχεδιασμός Έρευνας</w:t>
      </w:r>
      <w:bookmarkEnd w:id="51"/>
    </w:p>
    <w:p w14:paraId="1185863F" w14:textId="77777777" w:rsidR="00146CE2" w:rsidRPr="00BF0161" w:rsidRDefault="00DB0AA3">
      <w:pPr>
        <w:spacing w:after="120" w:line="360" w:lineRule="auto"/>
        <w:jc w:val="both"/>
        <w:rPr>
          <w:lang w:val="el-GR"/>
        </w:rPr>
      </w:pPr>
      <w:r w:rsidRPr="00BF0161">
        <w:rPr>
          <w:lang w:val="el-GR"/>
        </w:rPr>
        <w:t>Στο κεφάλαιο αυτό αναλύεται η μεθοδολογία, η οργάνωση της έρευνας, η επιλογή του πληθυσμού χορήγησης, η διαδικασία συλλογής και καταγραφής των δεδομένων, η επεξεργασία των στοιχείων και η στατιστική ανάλυση, καθώς επίσης και οι περιορισμοί αυτής.</w:t>
      </w:r>
    </w:p>
    <w:p w14:paraId="4A7BDA28" w14:textId="77777777" w:rsidR="00146CE2" w:rsidRPr="00BF0161" w:rsidRDefault="00DB0AA3">
      <w:pPr>
        <w:spacing w:after="120" w:line="360" w:lineRule="auto"/>
        <w:jc w:val="both"/>
        <w:rPr>
          <w:lang w:val="el-GR"/>
        </w:rPr>
      </w:pPr>
      <w:r w:rsidRPr="00BF0161">
        <w:rPr>
          <w:lang w:val="el-GR"/>
        </w:rPr>
        <w:t xml:space="preserve">Η έρευνα αποτελείται από τέσσερα μέρη. Το πρώτο μέρος αφορά τη συλλογή βιβλιογραφίας. Το δεύτερο μέρος σχετίζεται με τη μετάφραση του ερωτηματολογίου </w:t>
      </w:r>
      <w:r>
        <w:rPr>
          <w:lang w:val="en-US"/>
        </w:rPr>
        <w:t>Dysphagia</w:t>
      </w:r>
      <w:r w:rsidRPr="00BF0161">
        <w:rPr>
          <w:lang w:val="el-GR"/>
        </w:rPr>
        <w:t xml:space="preserve"> </w:t>
      </w:r>
      <w:r>
        <w:rPr>
          <w:lang w:val="en-US"/>
        </w:rPr>
        <w:t>in</w:t>
      </w:r>
      <w:r w:rsidRPr="00BF0161">
        <w:rPr>
          <w:lang w:val="el-GR"/>
        </w:rPr>
        <w:t xml:space="preserve"> </w:t>
      </w:r>
      <w:r>
        <w:rPr>
          <w:lang w:val="en-US"/>
        </w:rPr>
        <w:t>Head</w:t>
      </w:r>
      <w:r w:rsidRPr="00BF0161">
        <w:rPr>
          <w:lang w:val="el-GR"/>
        </w:rPr>
        <w:t xml:space="preserve"> </w:t>
      </w:r>
      <w:r>
        <w:rPr>
          <w:lang w:val="en-US"/>
        </w:rPr>
        <w:t>and</w:t>
      </w:r>
      <w:r w:rsidRPr="00BF0161">
        <w:rPr>
          <w:lang w:val="el-GR"/>
        </w:rPr>
        <w:t xml:space="preserve"> </w:t>
      </w:r>
      <w:r>
        <w:rPr>
          <w:lang w:val="en-US"/>
        </w:rPr>
        <w:t>Neck</w:t>
      </w:r>
      <w:r w:rsidRPr="00BF0161">
        <w:rPr>
          <w:lang w:val="el-GR"/>
        </w:rPr>
        <w:t xml:space="preserve"> </w:t>
      </w:r>
      <w:r>
        <w:rPr>
          <w:lang w:val="en-US"/>
        </w:rPr>
        <w:t>Cancer</w:t>
      </w:r>
      <w:r w:rsidRPr="00BF0161">
        <w:rPr>
          <w:lang w:val="el-GR"/>
        </w:rPr>
        <w:t xml:space="preserve"> (</w:t>
      </w:r>
      <w:r>
        <w:t>Garcia</w:t>
      </w:r>
      <w:r w:rsidRPr="00BF0161">
        <w:rPr>
          <w:lang w:val="el-GR"/>
        </w:rPr>
        <w:t xml:space="preserve"> – </w:t>
      </w:r>
      <w:r>
        <w:t>Peris</w:t>
      </w:r>
      <w:r w:rsidRPr="00BF0161">
        <w:rPr>
          <w:lang w:val="el-GR"/>
        </w:rPr>
        <w:t xml:space="preserve">, </w:t>
      </w:r>
      <w:r>
        <w:t>P</w:t>
      </w:r>
      <w:r w:rsidRPr="00BF0161">
        <w:rPr>
          <w:lang w:val="el-GR"/>
        </w:rPr>
        <w:t xml:space="preserve">., </w:t>
      </w:r>
      <w:r>
        <w:t>et</w:t>
      </w:r>
      <w:r w:rsidRPr="00BF0161">
        <w:rPr>
          <w:lang w:val="el-GR"/>
        </w:rPr>
        <w:t xml:space="preserve"> </w:t>
      </w:r>
      <w:r>
        <w:t>al</w:t>
      </w:r>
      <w:r w:rsidRPr="00BF0161">
        <w:rPr>
          <w:lang w:val="el-GR"/>
        </w:rPr>
        <w:t xml:space="preserve">., 2007) στην ελληνική γλώσσα. Το τρίτο μέρος περιγράφει τη χορήγηση του ερωτηματολογίου σε μη παθολογικό πληθυσμό, ενώ το τέταρτο και τελευταίο την κωδικοποίηση, την εισαγωγή δεδομένων, την ανάλυση των στοιχείων και την ερμηνεία των αποτελεσμάτων. </w:t>
      </w:r>
    </w:p>
    <w:p w14:paraId="0C6CFE03" w14:textId="77777777" w:rsidR="00146CE2" w:rsidRPr="00BF0161" w:rsidRDefault="00146CE2">
      <w:pPr>
        <w:spacing w:after="120" w:line="360" w:lineRule="auto"/>
        <w:jc w:val="both"/>
        <w:rPr>
          <w:lang w:val="el-GR"/>
        </w:rPr>
      </w:pPr>
    </w:p>
    <w:p w14:paraId="4C596586" w14:textId="77777777" w:rsidR="00146CE2" w:rsidRPr="00BF0161" w:rsidRDefault="00146CE2">
      <w:pPr>
        <w:spacing w:after="120" w:line="360" w:lineRule="auto"/>
        <w:jc w:val="both"/>
        <w:rPr>
          <w:lang w:val="el-GR"/>
        </w:rPr>
      </w:pPr>
    </w:p>
    <w:p w14:paraId="1C989482" w14:textId="77777777" w:rsidR="00146CE2" w:rsidRDefault="00DB0AA3">
      <w:pPr>
        <w:spacing w:after="120" w:line="360" w:lineRule="auto"/>
        <w:jc w:val="both"/>
      </w:pPr>
      <w:r>
        <w:rPr>
          <w:noProof/>
          <w:lang w:val="el-GR" w:eastAsia="el-GR"/>
        </w:rPr>
        <w:lastRenderedPageBreak/>
        <w:drawing>
          <wp:inline distT="0" distB="0" distL="0" distR="0" wp14:anchorId="5BA9666A" wp14:editId="0CCAC5DB">
            <wp:extent cx="5665470" cy="3587115"/>
            <wp:effectExtent l="0" t="0" r="0" b="108585"/>
            <wp:docPr id="4" name="Diagram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2485F600" w14:textId="77777777" w:rsidR="00146CE2" w:rsidRPr="00BF0161" w:rsidRDefault="00DB0AA3">
      <w:pPr>
        <w:spacing w:after="120" w:line="360" w:lineRule="auto"/>
        <w:jc w:val="both"/>
        <w:rPr>
          <w:rFonts w:eastAsia="Times New Roman"/>
          <w:lang w:val="el-GR"/>
        </w:rPr>
      </w:pPr>
      <w:r w:rsidRPr="00BF0161">
        <w:rPr>
          <w:rFonts w:eastAsia="Times New Roman"/>
          <w:b/>
          <w:lang w:val="el-GR"/>
        </w:rPr>
        <w:t>Σχήμα 2.1.</w:t>
      </w:r>
      <w:r w:rsidRPr="00BF0161">
        <w:rPr>
          <w:rFonts w:eastAsia="Times New Roman"/>
          <w:lang w:val="el-GR"/>
        </w:rPr>
        <w:t xml:space="preserve"> Μέρη της Έρευνας.</w:t>
      </w:r>
    </w:p>
    <w:p w14:paraId="423B2F5F" w14:textId="77777777" w:rsidR="00403EE9" w:rsidRPr="00DA4172" w:rsidRDefault="00403EE9">
      <w:pPr>
        <w:spacing w:after="120" w:line="360" w:lineRule="auto"/>
        <w:jc w:val="both"/>
        <w:rPr>
          <w:b/>
          <w:sz w:val="28"/>
          <w:lang w:val="el-GR"/>
        </w:rPr>
      </w:pPr>
    </w:p>
    <w:p w14:paraId="73953363" w14:textId="77777777" w:rsidR="00146CE2" w:rsidRPr="00456D14" w:rsidRDefault="00DB0AA3" w:rsidP="00456D14">
      <w:pPr>
        <w:pStyle w:val="2"/>
        <w:spacing w:before="0" w:line="360" w:lineRule="auto"/>
        <w:rPr>
          <w:b/>
          <w:sz w:val="28"/>
        </w:rPr>
      </w:pPr>
      <w:bookmarkStart w:id="52" w:name="_Toc493323989"/>
      <w:r w:rsidRPr="00456D14">
        <w:rPr>
          <w:b/>
          <w:sz w:val="28"/>
        </w:rPr>
        <w:t>2.2 Καθορισμός πληθυσμού και μέγεθος δείγματος</w:t>
      </w:r>
      <w:bookmarkEnd w:id="52"/>
    </w:p>
    <w:p w14:paraId="3DE1620A" w14:textId="77777777" w:rsidR="00146CE2" w:rsidRDefault="00DB0AA3">
      <w:pPr>
        <w:spacing w:after="120" w:line="360" w:lineRule="auto"/>
        <w:jc w:val="both"/>
      </w:pPr>
      <w:r w:rsidRPr="00BF0161">
        <w:rPr>
          <w:lang w:val="el-GR"/>
        </w:rPr>
        <w:t xml:space="preserve">Για την υλοποίηση της έρευνας αυτής χορηγήθηκαν συνολικά 360 ερωτηματολόγια σε άτομα μη παθολογικού πληθυσμού. </w:t>
      </w:r>
      <w:proofErr w:type="spellStart"/>
      <w:r>
        <w:t>Συγκεκριμέν</w:t>
      </w:r>
      <w:proofErr w:type="spellEnd"/>
      <w:r>
        <w:t xml:space="preserve">α, </w:t>
      </w:r>
      <w:proofErr w:type="spellStart"/>
      <w:r>
        <w:t>έγινε</w:t>
      </w:r>
      <w:proofErr w:type="spellEnd"/>
      <w:r>
        <w:t xml:space="preserve"> </w:t>
      </w:r>
      <w:proofErr w:type="spellStart"/>
      <w:r>
        <w:t>δι</w:t>
      </w:r>
      <w:proofErr w:type="spellEnd"/>
      <w:r>
        <w:t xml:space="preserve">αχωρισμός </w:t>
      </w:r>
      <w:proofErr w:type="spellStart"/>
      <w:r>
        <w:t>σε</w:t>
      </w:r>
      <w:proofErr w:type="spellEnd"/>
      <w:r>
        <w:t xml:space="preserve"> </w:t>
      </w:r>
      <w:proofErr w:type="spellStart"/>
      <w:r>
        <w:t>έξι</w:t>
      </w:r>
      <w:proofErr w:type="spellEnd"/>
      <w:r>
        <w:t xml:space="preserve"> </w:t>
      </w:r>
      <w:proofErr w:type="spellStart"/>
      <w:r>
        <w:t>ηλικι</w:t>
      </w:r>
      <w:proofErr w:type="spellEnd"/>
      <w:r>
        <w:t xml:space="preserve">ακές </w:t>
      </w:r>
      <w:proofErr w:type="spellStart"/>
      <w:r>
        <w:t>ομάδες</w:t>
      </w:r>
      <w:proofErr w:type="spellEnd"/>
      <w:r>
        <w:t xml:space="preserve"> :</w:t>
      </w:r>
    </w:p>
    <w:p w14:paraId="0A7AE3E4" w14:textId="77777777" w:rsidR="00146CE2" w:rsidRDefault="00DB0AA3">
      <w:pPr>
        <w:pStyle w:val="a5"/>
        <w:numPr>
          <w:ilvl w:val="0"/>
          <w:numId w:val="18"/>
        </w:numPr>
        <w:spacing w:after="120" w:line="360" w:lineRule="auto"/>
        <w:jc w:val="both"/>
        <w:rPr>
          <w:rFonts w:ascii="Times New Roman" w:hAnsi="Times New Roman"/>
          <w:sz w:val="24"/>
        </w:rPr>
      </w:pPr>
      <w:r>
        <w:rPr>
          <w:rFonts w:ascii="Times New Roman" w:hAnsi="Times New Roman"/>
          <w:sz w:val="24"/>
        </w:rPr>
        <w:lastRenderedPageBreak/>
        <w:t>18-29 ετών</w:t>
      </w:r>
    </w:p>
    <w:p w14:paraId="27855588" w14:textId="77777777" w:rsidR="00146CE2" w:rsidRDefault="00DB0AA3">
      <w:pPr>
        <w:pStyle w:val="a5"/>
        <w:numPr>
          <w:ilvl w:val="0"/>
          <w:numId w:val="18"/>
        </w:numPr>
        <w:spacing w:after="120" w:line="360" w:lineRule="auto"/>
        <w:jc w:val="both"/>
        <w:rPr>
          <w:rFonts w:ascii="Times New Roman" w:hAnsi="Times New Roman"/>
          <w:sz w:val="24"/>
        </w:rPr>
      </w:pPr>
      <w:r>
        <w:rPr>
          <w:rFonts w:ascii="Times New Roman" w:hAnsi="Times New Roman"/>
          <w:sz w:val="24"/>
        </w:rPr>
        <w:t>30-39 ετών</w:t>
      </w:r>
    </w:p>
    <w:p w14:paraId="412F029F" w14:textId="77777777" w:rsidR="00146CE2" w:rsidRDefault="00DB0AA3">
      <w:pPr>
        <w:pStyle w:val="a5"/>
        <w:numPr>
          <w:ilvl w:val="0"/>
          <w:numId w:val="18"/>
        </w:numPr>
        <w:spacing w:after="120" w:line="360" w:lineRule="auto"/>
        <w:jc w:val="both"/>
        <w:rPr>
          <w:rFonts w:ascii="Times New Roman" w:hAnsi="Times New Roman"/>
          <w:sz w:val="24"/>
        </w:rPr>
      </w:pPr>
      <w:r>
        <w:rPr>
          <w:rFonts w:ascii="Times New Roman" w:hAnsi="Times New Roman"/>
          <w:sz w:val="24"/>
        </w:rPr>
        <w:t>40-49 ετών</w:t>
      </w:r>
    </w:p>
    <w:p w14:paraId="43845ACA" w14:textId="77777777" w:rsidR="00146CE2" w:rsidRDefault="00DB0AA3">
      <w:pPr>
        <w:pStyle w:val="a5"/>
        <w:numPr>
          <w:ilvl w:val="0"/>
          <w:numId w:val="18"/>
        </w:numPr>
        <w:spacing w:after="120" w:line="360" w:lineRule="auto"/>
        <w:jc w:val="both"/>
        <w:rPr>
          <w:rFonts w:ascii="Times New Roman" w:hAnsi="Times New Roman"/>
          <w:sz w:val="24"/>
        </w:rPr>
      </w:pPr>
      <w:r>
        <w:rPr>
          <w:rFonts w:ascii="Times New Roman" w:hAnsi="Times New Roman"/>
          <w:sz w:val="24"/>
        </w:rPr>
        <w:t>50-59 ετών</w:t>
      </w:r>
    </w:p>
    <w:p w14:paraId="479BC6BB" w14:textId="77777777" w:rsidR="00146CE2" w:rsidRDefault="00DB0AA3">
      <w:pPr>
        <w:pStyle w:val="a5"/>
        <w:numPr>
          <w:ilvl w:val="0"/>
          <w:numId w:val="18"/>
        </w:numPr>
        <w:spacing w:after="120" w:line="360" w:lineRule="auto"/>
        <w:jc w:val="both"/>
        <w:rPr>
          <w:rFonts w:ascii="Times New Roman" w:hAnsi="Times New Roman"/>
          <w:sz w:val="24"/>
        </w:rPr>
      </w:pPr>
      <w:r>
        <w:rPr>
          <w:rFonts w:ascii="Times New Roman" w:hAnsi="Times New Roman"/>
          <w:sz w:val="24"/>
        </w:rPr>
        <w:t>60-69 ετών</w:t>
      </w:r>
    </w:p>
    <w:p w14:paraId="3E23DB7C" w14:textId="77777777" w:rsidR="00146CE2" w:rsidRDefault="00DB0AA3">
      <w:pPr>
        <w:pStyle w:val="a5"/>
        <w:numPr>
          <w:ilvl w:val="0"/>
          <w:numId w:val="18"/>
        </w:numPr>
        <w:spacing w:after="120" w:line="360" w:lineRule="auto"/>
        <w:jc w:val="both"/>
        <w:rPr>
          <w:rFonts w:ascii="Times New Roman" w:hAnsi="Times New Roman"/>
          <w:sz w:val="24"/>
        </w:rPr>
      </w:pPr>
      <w:r>
        <w:rPr>
          <w:rFonts w:ascii="Times New Roman" w:hAnsi="Times New Roman"/>
          <w:sz w:val="24"/>
        </w:rPr>
        <w:t>70+ ετών</w:t>
      </w:r>
    </w:p>
    <w:p w14:paraId="00A7FEF0" w14:textId="77777777" w:rsidR="00146CE2" w:rsidRPr="00BF0161" w:rsidRDefault="00DB0AA3">
      <w:pPr>
        <w:spacing w:after="120" w:line="360" w:lineRule="auto"/>
        <w:jc w:val="both"/>
        <w:rPr>
          <w:lang w:val="el-GR"/>
        </w:rPr>
      </w:pPr>
      <w:r w:rsidRPr="00BF0161">
        <w:rPr>
          <w:lang w:val="el-GR"/>
        </w:rPr>
        <w:t xml:space="preserve">Η κάθε ηλικιακή ομάδα απαρτίζεται από 60 άτομα, γυναικείου και ανδρικού πληθυσμού 30 ατόμων </w:t>
      </w:r>
      <w:proofErr w:type="spellStart"/>
      <w:r w:rsidRPr="00BF0161">
        <w:rPr>
          <w:lang w:val="el-GR"/>
        </w:rPr>
        <w:t>έκαστη</w:t>
      </w:r>
      <w:proofErr w:type="spellEnd"/>
      <w:r w:rsidRPr="00BF0161">
        <w:rPr>
          <w:lang w:val="el-GR"/>
        </w:rPr>
        <w:t>.</w:t>
      </w:r>
    </w:p>
    <w:p w14:paraId="47EBFD53" w14:textId="77777777" w:rsidR="00146CE2" w:rsidRPr="00BF0161" w:rsidRDefault="00DB0AA3">
      <w:pPr>
        <w:spacing w:after="120" w:line="360" w:lineRule="auto"/>
        <w:jc w:val="both"/>
        <w:rPr>
          <w:lang w:val="el-GR"/>
        </w:rPr>
      </w:pPr>
      <w:r w:rsidRPr="00BF0161">
        <w:rPr>
          <w:lang w:val="el-GR"/>
        </w:rPr>
        <w:t>Η επιλογή του δείγματος έγινε ανεξαρτήτου κοινωνικού, οικονομικού και εκπαιδευτικού   επιπέδου, καταγωγής και οικογενειακής κατάστασης.</w:t>
      </w:r>
    </w:p>
    <w:p w14:paraId="43624593" w14:textId="77777777" w:rsidR="00146CE2" w:rsidRPr="00BF0161" w:rsidRDefault="00146CE2">
      <w:pPr>
        <w:spacing w:after="120" w:line="360" w:lineRule="auto"/>
        <w:jc w:val="both"/>
        <w:rPr>
          <w:lang w:val="el-GR"/>
        </w:rPr>
      </w:pPr>
    </w:p>
    <w:p w14:paraId="2C13F757" w14:textId="77777777" w:rsidR="00146CE2" w:rsidRPr="00456D14" w:rsidRDefault="00DB0AA3" w:rsidP="00456D14">
      <w:pPr>
        <w:pStyle w:val="2"/>
        <w:spacing w:before="0" w:line="360" w:lineRule="auto"/>
        <w:rPr>
          <w:b/>
          <w:sz w:val="28"/>
        </w:rPr>
      </w:pPr>
      <w:bookmarkStart w:id="53" w:name="_Toc493323990"/>
      <w:r w:rsidRPr="00456D14">
        <w:rPr>
          <w:b/>
          <w:sz w:val="28"/>
        </w:rPr>
        <w:t>2.3 Μέσα και τρόπος συλλογής δεδομένων</w:t>
      </w:r>
      <w:bookmarkEnd w:id="53"/>
    </w:p>
    <w:p w14:paraId="15047D67" w14:textId="77777777" w:rsidR="00146CE2" w:rsidRPr="00BF0161" w:rsidRDefault="00DB0AA3">
      <w:pPr>
        <w:tabs>
          <w:tab w:val="left" w:pos="5387"/>
        </w:tabs>
        <w:spacing w:after="120" w:line="360" w:lineRule="auto"/>
        <w:jc w:val="both"/>
        <w:rPr>
          <w:lang w:val="el-GR"/>
        </w:rPr>
      </w:pPr>
      <w:r w:rsidRPr="00BF0161">
        <w:rPr>
          <w:lang w:val="el-GR"/>
        </w:rPr>
        <w:t xml:space="preserve">Στην παρούσα έρευνα χρησιμοποιήθηκαν τα μεταφρασμένα  στην ελληνική ερωτηματολόγια </w:t>
      </w:r>
      <w:r>
        <w:rPr>
          <w:lang w:val="en-US"/>
        </w:rPr>
        <w:t>Dysphagia</w:t>
      </w:r>
      <w:r w:rsidRPr="00BF0161">
        <w:rPr>
          <w:lang w:val="el-GR"/>
        </w:rPr>
        <w:t xml:space="preserve"> </w:t>
      </w:r>
      <w:r>
        <w:rPr>
          <w:lang w:val="en-US"/>
        </w:rPr>
        <w:t>in</w:t>
      </w:r>
      <w:r w:rsidRPr="00BF0161">
        <w:rPr>
          <w:lang w:val="el-GR"/>
        </w:rPr>
        <w:t xml:space="preserve"> </w:t>
      </w:r>
      <w:r>
        <w:rPr>
          <w:lang w:val="en-US"/>
        </w:rPr>
        <w:t>Head</w:t>
      </w:r>
      <w:r w:rsidRPr="00BF0161">
        <w:rPr>
          <w:lang w:val="el-GR"/>
        </w:rPr>
        <w:t xml:space="preserve"> </w:t>
      </w:r>
      <w:r>
        <w:rPr>
          <w:lang w:val="en-US"/>
        </w:rPr>
        <w:t>and</w:t>
      </w:r>
      <w:r w:rsidRPr="00BF0161">
        <w:rPr>
          <w:lang w:val="el-GR"/>
        </w:rPr>
        <w:t xml:space="preserve"> </w:t>
      </w:r>
      <w:r>
        <w:rPr>
          <w:lang w:val="en-US"/>
        </w:rPr>
        <w:t>Neck</w:t>
      </w:r>
      <w:r w:rsidRPr="00BF0161">
        <w:rPr>
          <w:lang w:val="el-GR"/>
        </w:rPr>
        <w:t xml:space="preserve"> </w:t>
      </w:r>
      <w:r>
        <w:rPr>
          <w:lang w:val="en-US"/>
        </w:rPr>
        <w:t>Cancer</w:t>
      </w:r>
      <w:r w:rsidRPr="00BF0161">
        <w:rPr>
          <w:lang w:val="el-GR"/>
        </w:rPr>
        <w:t xml:space="preserve"> (</w:t>
      </w:r>
      <w:r>
        <w:t>Garcia</w:t>
      </w:r>
      <w:r w:rsidRPr="00BF0161">
        <w:rPr>
          <w:lang w:val="el-GR"/>
        </w:rPr>
        <w:t xml:space="preserve"> – </w:t>
      </w:r>
      <w:r>
        <w:t>Peris</w:t>
      </w:r>
      <w:r w:rsidR="00F446F6">
        <w:rPr>
          <w:lang w:val="el-GR"/>
        </w:rPr>
        <w:t>,</w:t>
      </w:r>
      <w:r w:rsidRPr="00BF0161">
        <w:rPr>
          <w:lang w:val="el-GR"/>
        </w:rPr>
        <w:t xml:space="preserve"> </w:t>
      </w:r>
      <w:r>
        <w:t>et</w:t>
      </w:r>
      <w:r w:rsidRPr="00BF0161">
        <w:rPr>
          <w:lang w:val="el-GR"/>
        </w:rPr>
        <w:t xml:space="preserve"> </w:t>
      </w:r>
      <w:r>
        <w:t>al</w:t>
      </w:r>
      <w:r w:rsidRPr="00BF0161">
        <w:rPr>
          <w:lang w:val="el-GR"/>
        </w:rPr>
        <w:t>., 2007), με μέσο χρόνο συμπλήρωσης 5 λεπτά.</w:t>
      </w:r>
    </w:p>
    <w:p w14:paraId="684BA61E" w14:textId="77777777" w:rsidR="00146CE2" w:rsidRPr="00BF0161" w:rsidRDefault="00DB0AA3">
      <w:pPr>
        <w:tabs>
          <w:tab w:val="left" w:pos="5387"/>
        </w:tabs>
        <w:spacing w:after="120" w:line="360" w:lineRule="auto"/>
        <w:jc w:val="both"/>
        <w:rPr>
          <w:lang w:val="el-GR"/>
        </w:rPr>
      </w:pPr>
      <w:r w:rsidRPr="00BF0161">
        <w:rPr>
          <w:lang w:val="el-GR"/>
        </w:rPr>
        <w:lastRenderedPageBreak/>
        <w:t>Αξίζει να σημειωθεί ότι οι συμμετέχοντες λάμβαναν γνώση του περιεχομένου του ερωτηματολογίου και του σκοπού του. Στην συνέχεια, προχωρούσαν στη διαδικασία συμπλήρωσης, εάν αυτοί το επιθυμούσαν. Τα προσωπικά στοιχεία των συμμετεχόντων παρέμειναν απόρρητα, εκτός της ηλικίας και του φύλου. Κατά τη διάρκεια της συμπλήρωσης ζητήθηκε μόνο από τα άτομα να δώσουν ειλικρινείς απαντήσεις.</w:t>
      </w:r>
    </w:p>
    <w:p w14:paraId="3930B49A" w14:textId="77777777" w:rsidR="00146CE2" w:rsidRPr="00BF0161" w:rsidRDefault="00146CE2">
      <w:pPr>
        <w:spacing w:after="120" w:line="360" w:lineRule="auto"/>
        <w:jc w:val="both"/>
        <w:rPr>
          <w:b/>
          <w:sz w:val="28"/>
          <w:lang w:val="el-GR"/>
        </w:rPr>
      </w:pPr>
    </w:p>
    <w:p w14:paraId="1C8D3A69" w14:textId="77777777" w:rsidR="00146CE2" w:rsidRPr="00DE400E" w:rsidRDefault="00DB0AA3" w:rsidP="00456D14">
      <w:pPr>
        <w:pStyle w:val="2"/>
        <w:spacing w:before="0" w:line="360" w:lineRule="auto"/>
        <w:rPr>
          <w:b/>
          <w:sz w:val="28"/>
          <w:lang w:val="en-US"/>
        </w:rPr>
      </w:pPr>
      <w:bookmarkStart w:id="54" w:name="_Toc493323991"/>
      <w:r w:rsidRPr="00DE400E">
        <w:rPr>
          <w:b/>
          <w:sz w:val="28"/>
          <w:lang w:val="en-US"/>
        </w:rPr>
        <w:t xml:space="preserve">2.4 </w:t>
      </w:r>
      <w:r w:rsidRPr="00456D14">
        <w:rPr>
          <w:b/>
          <w:sz w:val="28"/>
        </w:rPr>
        <w:t>Μετάφραση</w:t>
      </w:r>
      <w:r w:rsidRPr="00DE400E">
        <w:rPr>
          <w:b/>
          <w:sz w:val="28"/>
          <w:lang w:val="en-US"/>
        </w:rPr>
        <w:t xml:space="preserve"> </w:t>
      </w:r>
      <w:r w:rsidRPr="00456D14">
        <w:rPr>
          <w:b/>
          <w:sz w:val="28"/>
        </w:rPr>
        <w:t>του</w:t>
      </w:r>
      <w:r w:rsidRPr="00DE400E">
        <w:rPr>
          <w:b/>
          <w:sz w:val="28"/>
          <w:lang w:val="en-US"/>
        </w:rPr>
        <w:t xml:space="preserve"> </w:t>
      </w:r>
      <w:r w:rsidRPr="00456D14">
        <w:rPr>
          <w:b/>
          <w:sz w:val="28"/>
        </w:rPr>
        <w:t>ερωτηματολογίου</w:t>
      </w:r>
      <w:r w:rsidRPr="00DE400E">
        <w:rPr>
          <w:b/>
          <w:sz w:val="28"/>
          <w:lang w:val="en-US"/>
        </w:rPr>
        <w:t xml:space="preserve"> Dysphagia in Head and Neck Cancer</w:t>
      </w:r>
      <w:bookmarkEnd w:id="54"/>
    </w:p>
    <w:p w14:paraId="7106860A" w14:textId="77777777" w:rsidR="00146CE2" w:rsidRPr="00BF0161" w:rsidRDefault="00DB0AA3">
      <w:pPr>
        <w:spacing w:after="120" w:line="360" w:lineRule="auto"/>
        <w:jc w:val="both"/>
        <w:rPr>
          <w:lang w:val="el-GR"/>
        </w:rPr>
      </w:pPr>
      <w:r w:rsidRPr="00BF0161">
        <w:rPr>
          <w:lang w:val="el-GR"/>
        </w:rPr>
        <w:t xml:space="preserve">Με σκοπό τη μετάφραση του ερωτηματολογίου </w:t>
      </w:r>
      <w:r>
        <w:rPr>
          <w:lang w:val="en-US"/>
        </w:rPr>
        <w:t>Dysphagia</w:t>
      </w:r>
      <w:r w:rsidRPr="00BF0161">
        <w:rPr>
          <w:lang w:val="el-GR"/>
        </w:rPr>
        <w:t xml:space="preserve"> </w:t>
      </w:r>
      <w:r>
        <w:rPr>
          <w:lang w:val="en-US"/>
        </w:rPr>
        <w:t>in</w:t>
      </w:r>
      <w:r w:rsidRPr="00BF0161">
        <w:rPr>
          <w:lang w:val="el-GR"/>
        </w:rPr>
        <w:t xml:space="preserve"> </w:t>
      </w:r>
      <w:r>
        <w:rPr>
          <w:lang w:val="en-US"/>
        </w:rPr>
        <w:t>Head</w:t>
      </w:r>
      <w:r w:rsidRPr="00BF0161">
        <w:rPr>
          <w:lang w:val="el-GR"/>
        </w:rPr>
        <w:t xml:space="preserve"> </w:t>
      </w:r>
      <w:r>
        <w:rPr>
          <w:lang w:val="en-US"/>
        </w:rPr>
        <w:t>and</w:t>
      </w:r>
      <w:r w:rsidRPr="00BF0161">
        <w:rPr>
          <w:lang w:val="el-GR"/>
        </w:rPr>
        <w:t xml:space="preserve"> </w:t>
      </w:r>
      <w:r>
        <w:rPr>
          <w:lang w:val="en-US"/>
        </w:rPr>
        <w:t>Neck</w:t>
      </w:r>
      <w:r w:rsidRPr="00BF0161">
        <w:rPr>
          <w:lang w:val="el-GR"/>
        </w:rPr>
        <w:t xml:space="preserve"> </w:t>
      </w:r>
      <w:r>
        <w:rPr>
          <w:lang w:val="en-US"/>
        </w:rPr>
        <w:t>Cancer</w:t>
      </w:r>
      <w:r w:rsidRPr="00BF0161">
        <w:rPr>
          <w:lang w:val="el-GR"/>
        </w:rPr>
        <w:t xml:space="preserve"> (</w:t>
      </w:r>
      <w:r>
        <w:t>Garcia</w:t>
      </w:r>
      <w:r w:rsidRPr="00BF0161">
        <w:rPr>
          <w:lang w:val="el-GR"/>
        </w:rPr>
        <w:t xml:space="preserve"> – </w:t>
      </w:r>
      <w:r>
        <w:t>Peris</w:t>
      </w:r>
      <w:r w:rsidRPr="00BF0161">
        <w:rPr>
          <w:lang w:val="el-GR"/>
        </w:rPr>
        <w:t xml:space="preserve">, </w:t>
      </w:r>
      <w:r>
        <w:t>et</w:t>
      </w:r>
      <w:r w:rsidRPr="00BF0161">
        <w:rPr>
          <w:lang w:val="el-GR"/>
        </w:rPr>
        <w:t xml:space="preserve"> </w:t>
      </w:r>
      <w:r>
        <w:t>al</w:t>
      </w:r>
      <w:r w:rsidRPr="00BF0161">
        <w:rPr>
          <w:lang w:val="el-GR"/>
        </w:rPr>
        <w:t xml:space="preserve">., 2007) ακολουθήθηκε η εξής διαδικασία: αρχικά επιλέχθηκαν τρεις φυσικοί ομιλητές της ελληνικής γλώσσας με αγγλική επάρκεια σε γραπτό και προφορικό λόγο, σχετικοί με το αντικείμενο της λογοθεραπευτικής επιστήμης. Έπειτα, τους  δόθηκε η αρχική έκδοση του ερωτηματολογίου στην αγγλική γλώσσα προς μετάφραση. Οι τρεις μεταφράσεις που προέκυψαν από τα παραπάνω άτομα προωθήθηκαν σε έναν επαγγελματία λογοθεραπευτή με υψηλή επάρκεια της αγγλικής </w:t>
      </w:r>
      <w:r w:rsidRPr="00BF0161">
        <w:rPr>
          <w:lang w:val="el-GR"/>
        </w:rPr>
        <w:lastRenderedPageBreak/>
        <w:t>γλώσσας. Με τη σειρά του εκείνος προχώρησε στο συγκερασμό των μεταφρασμένων ερωτηματολογίων σε μία τελική έκδοση. Ο ίδιος του επιμελήθηκε διάφορες απαραίτητες αλλαγές με σκοπό το περιεχόμενο των ερωτήσεων να είναι πλήρως κατανοητό στον ελληνικό πληθυσμό.</w:t>
      </w:r>
    </w:p>
    <w:p w14:paraId="22511ACE" w14:textId="77777777" w:rsidR="00146CE2" w:rsidRPr="00BF0161" w:rsidRDefault="00146CE2">
      <w:pPr>
        <w:spacing w:after="120" w:line="360" w:lineRule="auto"/>
        <w:jc w:val="both"/>
        <w:rPr>
          <w:lang w:val="el-GR"/>
        </w:rPr>
      </w:pPr>
    </w:p>
    <w:p w14:paraId="1C7E1D57" w14:textId="77777777" w:rsidR="00146CE2" w:rsidRPr="00456D14" w:rsidRDefault="00DB0AA3" w:rsidP="00456D14">
      <w:pPr>
        <w:pStyle w:val="2"/>
        <w:spacing w:line="360" w:lineRule="auto"/>
        <w:rPr>
          <w:b/>
          <w:sz w:val="28"/>
        </w:rPr>
      </w:pPr>
      <w:bookmarkStart w:id="55" w:name="_Toc493323992"/>
      <w:r w:rsidRPr="00456D14">
        <w:rPr>
          <w:b/>
          <w:sz w:val="28"/>
        </w:rPr>
        <w:t>2.5 Στατιστικές αναλύσεις</w:t>
      </w:r>
      <w:bookmarkEnd w:id="55"/>
      <w:r w:rsidRPr="00456D14">
        <w:rPr>
          <w:b/>
          <w:sz w:val="28"/>
        </w:rPr>
        <w:t xml:space="preserve">  </w:t>
      </w:r>
    </w:p>
    <w:p w14:paraId="2D38578A" w14:textId="77777777" w:rsidR="00146CE2" w:rsidRPr="00BF0161" w:rsidRDefault="00DB0AA3">
      <w:pPr>
        <w:spacing w:after="120" w:line="360" w:lineRule="auto"/>
        <w:jc w:val="both"/>
        <w:rPr>
          <w:rStyle w:val="textexposedshow"/>
          <w:szCs w:val="26"/>
          <w:lang w:val="el-GR"/>
        </w:rPr>
      </w:pPr>
      <w:r w:rsidRPr="00BF0161">
        <w:rPr>
          <w:szCs w:val="26"/>
          <w:lang w:val="el-GR"/>
        </w:rPr>
        <w:t xml:space="preserve">Ο έλεγχος της κανονικότητας του δείγματος έγινε με </w:t>
      </w:r>
      <w:r>
        <w:rPr>
          <w:szCs w:val="26"/>
        </w:rPr>
        <w:t>Kolmogorov</w:t>
      </w:r>
      <w:r w:rsidRPr="00BF0161">
        <w:rPr>
          <w:szCs w:val="26"/>
          <w:lang w:val="el-GR"/>
        </w:rPr>
        <w:t>-</w:t>
      </w:r>
      <w:r>
        <w:rPr>
          <w:szCs w:val="26"/>
        </w:rPr>
        <w:t>Smirnov</w:t>
      </w:r>
      <w:r w:rsidRPr="00BF0161">
        <w:rPr>
          <w:szCs w:val="26"/>
          <w:lang w:val="el-GR"/>
        </w:rPr>
        <w:t xml:space="preserve"> και </w:t>
      </w:r>
      <w:r>
        <w:rPr>
          <w:szCs w:val="26"/>
        </w:rPr>
        <w:t>Shapiro</w:t>
      </w:r>
      <w:r w:rsidRPr="00BF0161">
        <w:rPr>
          <w:szCs w:val="26"/>
          <w:lang w:val="el-GR"/>
        </w:rPr>
        <w:t>-</w:t>
      </w:r>
      <w:r>
        <w:rPr>
          <w:szCs w:val="26"/>
        </w:rPr>
        <w:t>Wilk</w:t>
      </w:r>
      <w:r w:rsidRPr="00BF0161">
        <w:rPr>
          <w:szCs w:val="26"/>
          <w:lang w:val="el-GR"/>
        </w:rPr>
        <w:t xml:space="preserve"> τεστ. Οι μεταβλητές που ακολουθούσαν κανονική κατανομή εκφράζονται σε μέσους όρους (</w:t>
      </w:r>
      <w:r>
        <w:rPr>
          <w:szCs w:val="26"/>
        </w:rPr>
        <w:t>Means</w:t>
      </w:r>
      <w:r w:rsidRPr="00BF0161">
        <w:rPr>
          <w:szCs w:val="26"/>
          <w:lang w:val="el-GR"/>
        </w:rPr>
        <w:t>) και τυπικές αποκλίσεις (</w:t>
      </w:r>
      <w:r>
        <w:rPr>
          <w:szCs w:val="26"/>
        </w:rPr>
        <w:t>Standard</w:t>
      </w:r>
      <w:r w:rsidRPr="00BF0161">
        <w:rPr>
          <w:szCs w:val="26"/>
          <w:lang w:val="el-GR"/>
        </w:rPr>
        <w:t xml:space="preserve"> </w:t>
      </w:r>
      <w:r>
        <w:rPr>
          <w:szCs w:val="26"/>
        </w:rPr>
        <w:t>Deviations</w:t>
      </w:r>
      <w:r w:rsidRPr="00BF0161">
        <w:rPr>
          <w:szCs w:val="26"/>
          <w:lang w:val="el-GR"/>
        </w:rPr>
        <w:t xml:space="preserve"> = </w:t>
      </w:r>
      <w:r>
        <w:rPr>
          <w:szCs w:val="26"/>
        </w:rPr>
        <w:t>SD</w:t>
      </w:r>
      <w:r w:rsidRPr="00BF0161">
        <w:rPr>
          <w:szCs w:val="26"/>
          <w:lang w:val="el-GR"/>
        </w:rPr>
        <w:t>). Οι μεταβλητές οι οποίες δεν ακολουθούσαν κανονική κατανομή, εκφράστηκαν σε μέση τιμή (</w:t>
      </w:r>
      <w:r>
        <w:rPr>
          <w:szCs w:val="26"/>
        </w:rPr>
        <w:t>Median</w:t>
      </w:r>
      <w:r w:rsidRPr="00BF0161">
        <w:rPr>
          <w:szCs w:val="26"/>
          <w:lang w:val="el-GR"/>
        </w:rPr>
        <w:t xml:space="preserve">) και σε </w:t>
      </w:r>
      <w:proofErr w:type="spellStart"/>
      <w:r w:rsidRPr="00BF0161">
        <w:rPr>
          <w:szCs w:val="26"/>
          <w:lang w:val="el-GR"/>
        </w:rPr>
        <w:t>διατεταρτημοριακό</w:t>
      </w:r>
      <w:proofErr w:type="spellEnd"/>
      <w:r w:rsidRPr="00BF0161">
        <w:rPr>
          <w:szCs w:val="26"/>
          <w:lang w:val="el-GR"/>
        </w:rPr>
        <w:t xml:space="preserve"> εύρος (</w:t>
      </w:r>
      <w:r>
        <w:rPr>
          <w:szCs w:val="26"/>
        </w:rPr>
        <w:t>IQR</w:t>
      </w:r>
      <w:r w:rsidRPr="00BF0161">
        <w:rPr>
          <w:szCs w:val="26"/>
          <w:lang w:val="el-GR"/>
        </w:rPr>
        <w:t>). Οι ποιοτικές μεταβλητές εκφράστηκαν ως απόλυτες και</w:t>
      </w:r>
      <w:r w:rsidRPr="00BF0161">
        <w:rPr>
          <w:rStyle w:val="apple-converted-space"/>
          <w:szCs w:val="26"/>
          <w:lang w:val="el-GR"/>
        </w:rPr>
        <w:t xml:space="preserve"> </w:t>
      </w:r>
      <w:r w:rsidRPr="00BF0161">
        <w:rPr>
          <w:rStyle w:val="textexposedshow"/>
          <w:szCs w:val="26"/>
          <w:lang w:val="el-GR"/>
        </w:rPr>
        <w:t xml:space="preserve">σχετικές συχνότητες. Για τη σύγκριση των αναλογιών χρησιμοποιήθηκε το </w:t>
      </w:r>
      <w:r>
        <w:rPr>
          <w:rStyle w:val="textexposedshow"/>
          <w:szCs w:val="26"/>
        </w:rPr>
        <w:t>chi</w:t>
      </w:r>
      <w:r w:rsidRPr="00BF0161">
        <w:rPr>
          <w:rStyle w:val="textexposedshow"/>
          <w:szCs w:val="26"/>
          <w:lang w:val="el-GR"/>
        </w:rPr>
        <w:t>-</w:t>
      </w:r>
      <w:r>
        <w:rPr>
          <w:rStyle w:val="textexposedshow"/>
          <w:szCs w:val="26"/>
        </w:rPr>
        <w:t>square</w:t>
      </w:r>
      <w:r w:rsidRPr="00BF0161">
        <w:rPr>
          <w:rStyle w:val="textexposedshow"/>
          <w:szCs w:val="26"/>
          <w:lang w:val="el-GR"/>
        </w:rPr>
        <w:t xml:space="preserve"> τεστ και </w:t>
      </w:r>
      <w:r>
        <w:rPr>
          <w:rStyle w:val="textexposedshow"/>
          <w:szCs w:val="26"/>
        </w:rPr>
        <w:t>students</w:t>
      </w:r>
      <w:r w:rsidRPr="00BF0161">
        <w:rPr>
          <w:rStyle w:val="textexposedshow"/>
          <w:szCs w:val="26"/>
          <w:lang w:val="el-GR"/>
        </w:rPr>
        <w:t xml:space="preserve"> </w:t>
      </w:r>
      <w:r>
        <w:rPr>
          <w:rStyle w:val="textexposedshow"/>
          <w:szCs w:val="26"/>
        </w:rPr>
        <w:t>t</w:t>
      </w:r>
      <w:r w:rsidRPr="00BF0161">
        <w:rPr>
          <w:rStyle w:val="textexposedshow"/>
          <w:szCs w:val="26"/>
          <w:lang w:val="el-GR"/>
        </w:rPr>
        <w:t>-</w:t>
      </w:r>
      <w:r>
        <w:rPr>
          <w:rStyle w:val="textexposedshow"/>
          <w:szCs w:val="26"/>
        </w:rPr>
        <w:t>test</w:t>
      </w:r>
      <w:r w:rsidRPr="00BF0161">
        <w:rPr>
          <w:rStyle w:val="textexposedshow"/>
          <w:szCs w:val="26"/>
          <w:lang w:val="el-GR"/>
        </w:rPr>
        <w:t xml:space="preserve">. Ο έλεγχος </w:t>
      </w:r>
      <w:r>
        <w:rPr>
          <w:rStyle w:val="textexposedshow"/>
          <w:szCs w:val="26"/>
        </w:rPr>
        <w:t>Mann</w:t>
      </w:r>
      <w:r w:rsidRPr="00BF0161">
        <w:rPr>
          <w:rStyle w:val="textexposedshow"/>
          <w:szCs w:val="26"/>
          <w:lang w:val="el-GR"/>
        </w:rPr>
        <w:t>-</w:t>
      </w:r>
      <w:r>
        <w:rPr>
          <w:rStyle w:val="textexposedshow"/>
          <w:szCs w:val="26"/>
        </w:rPr>
        <w:t>Whitney</w:t>
      </w:r>
      <w:r w:rsidRPr="00BF0161">
        <w:rPr>
          <w:rStyle w:val="textexposedshow"/>
          <w:szCs w:val="26"/>
          <w:lang w:val="el-GR"/>
        </w:rPr>
        <w:t xml:space="preserve"> </w:t>
      </w:r>
      <w:r>
        <w:rPr>
          <w:rStyle w:val="textexposedshow"/>
          <w:szCs w:val="26"/>
        </w:rPr>
        <w:t>U</w:t>
      </w:r>
      <w:r w:rsidRPr="00BF0161">
        <w:rPr>
          <w:rStyle w:val="textexposedshow"/>
          <w:szCs w:val="26"/>
          <w:lang w:val="el-GR"/>
        </w:rPr>
        <w:t xml:space="preserve"> χρησιμοποιήθηκε για τη σύγκριση των συνεχών μεταβλητών μεταξύ των δύο ομάδων μελέτης. Επίσης, ο </w:t>
      </w:r>
      <w:proofErr w:type="spellStart"/>
      <w:r w:rsidRPr="00BF0161">
        <w:rPr>
          <w:rStyle w:val="textexposedshow"/>
          <w:szCs w:val="26"/>
          <w:lang w:val="el-GR"/>
        </w:rPr>
        <w:t>έλεχγος</w:t>
      </w:r>
      <w:proofErr w:type="spellEnd"/>
      <w:r w:rsidRPr="00BF0161">
        <w:rPr>
          <w:rStyle w:val="textexposedshow"/>
          <w:szCs w:val="26"/>
          <w:lang w:val="el-GR"/>
        </w:rPr>
        <w:t xml:space="preserve"> </w:t>
      </w:r>
      <w:bookmarkStart w:id="56" w:name="__DdeLink__3004_244761722"/>
      <w:r>
        <w:rPr>
          <w:rStyle w:val="textexposedshow"/>
          <w:szCs w:val="26"/>
        </w:rPr>
        <w:t>Kruskal</w:t>
      </w:r>
      <w:r w:rsidRPr="00BF0161">
        <w:rPr>
          <w:rStyle w:val="textexposedshow"/>
          <w:szCs w:val="26"/>
          <w:lang w:val="el-GR"/>
        </w:rPr>
        <w:t>-</w:t>
      </w:r>
      <w:r>
        <w:rPr>
          <w:rStyle w:val="textexposedshow"/>
          <w:szCs w:val="26"/>
        </w:rPr>
        <w:t>Wallis</w:t>
      </w:r>
      <w:r w:rsidRPr="00BF0161">
        <w:rPr>
          <w:rStyle w:val="textexposedshow"/>
          <w:szCs w:val="26"/>
          <w:lang w:val="el-GR"/>
        </w:rPr>
        <w:t xml:space="preserve"> </w:t>
      </w:r>
      <w:bookmarkEnd w:id="56"/>
      <w:r w:rsidR="0062666C" w:rsidRPr="00BF0161">
        <w:rPr>
          <w:rStyle w:val="textexposedshow"/>
          <w:szCs w:val="26"/>
          <w:lang w:val="el-GR"/>
        </w:rPr>
        <w:t xml:space="preserve">Η </w:t>
      </w:r>
      <w:r w:rsidRPr="00BF0161">
        <w:rPr>
          <w:rStyle w:val="textexposedshow"/>
          <w:szCs w:val="26"/>
          <w:lang w:val="el-GR"/>
        </w:rPr>
        <w:t xml:space="preserve">χρησιμοποιήθηκε για τη σύγκριση των συνεχών μεταβλητών μεταξύ όλων των ομάδων </w:t>
      </w:r>
      <w:r w:rsidRPr="00BF0161">
        <w:rPr>
          <w:rStyle w:val="textexposedshow"/>
          <w:szCs w:val="26"/>
          <w:lang w:val="el-GR"/>
        </w:rPr>
        <w:lastRenderedPageBreak/>
        <w:t xml:space="preserve">μελέτης. </w:t>
      </w:r>
      <w:r w:rsidR="005D0950" w:rsidRPr="00BF0161">
        <w:rPr>
          <w:lang w:val="el-GR"/>
        </w:rPr>
        <w:t xml:space="preserve">Για τον έλεγχο εσωτερικής συνοχής (συνάφειας) και για την αξιοπιστία της κλίμακας ο δείκτης </w:t>
      </w:r>
      <w:r w:rsidR="005D0950">
        <w:rPr>
          <w:lang w:val="en-US"/>
        </w:rPr>
        <w:t>a</w:t>
      </w:r>
      <w:r w:rsidR="005D0950" w:rsidRPr="00BF0161">
        <w:rPr>
          <w:lang w:val="el-GR"/>
        </w:rPr>
        <w:t>-</w:t>
      </w:r>
      <w:r w:rsidR="005D0950" w:rsidRPr="004335DB">
        <w:rPr>
          <w:lang w:val="en-US"/>
        </w:rPr>
        <w:t>Cronbach</w:t>
      </w:r>
      <w:r w:rsidR="005D0950" w:rsidRPr="00BF0161">
        <w:rPr>
          <w:lang w:val="el-GR"/>
        </w:rPr>
        <w:t xml:space="preserve"> υπολογίστηκε. </w:t>
      </w:r>
      <w:r w:rsidRPr="00BF0161">
        <w:rPr>
          <w:rStyle w:val="textexposedshow"/>
          <w:szCs w:val="26"/>
          <w:lang w:val="el-GR"/>
        </w:rPr>
        <w:t xml:space="preserve">Όλες οι αναφερόμενες </w:t>
      </w:r>
      <w:r>
        <w:rPr>
          <w:rStyle w:val="textexposedshow"/>
          <w:szCs w:val="26"/>
        </w:rPr>
        <w:t>p</w:t>
      </w:r>
      <w:r w:rsidRPr="00BF0161">
        <w:rPr>
          <w:rStyle w:val="textexposedshow"/>
          <w:szCs w:val="26"/>
          <w:lang w:val="el-GR"/>
        </w:rPr>
        <w:t xml:space="preserve"> </w:t>
      </w:r>
      <w:r>
        <w:rPr>
          <w:rStyle w:val="textexposedshow"/>
          <w:szCs w:val="26"/>
        </w:rPr>
        <w:t>values</w:t>
      </w:r>
      <w:r w:rsidRPr="00BF0161">
        <w:rPr>
          <w:rStyle w:val="textexposedshow"/>
          <w:szCs w:val="26"/>
          <w:lang w:val="el-GR"/>
        </w:rPr>
        <w:t xml:space="preserve"> ήταν δικατάληκτες (</w:t>
      </w:r>
      <w:r>
        <w:rPr>
          <w:rStyle w:val="textexposedshow"/>
          <w:szCs w:val="26"/>
        </w:rPr>
        <w:t>two</w:t>
      </w:r>
      <w:r w:rsidRPr="00BF0161">
        <w:rPr>
          <w:rStyle w:val="textexposedshow"/>
          <w:szCs w:val="26"/>
          <w:lang w:val="el-GR"/>
        </w:rPr>
        <w:t>-</w:t>
      </w:r>
      <w:r>
        <w:rPr>
          <w:rStyle w:val="textexposedshow"/>
          <w:szCs w:val="26"/>
        </w:rPr>
        <w:t>tailed</w:t>
      </w:r>
      <w:r w:rsidRPr="00BF0161">
        <w:rPr>
          <w:rStyle w:val="textexposedshow"/>
          <w:szCs w:val="26"/>
          <w:lang w:val="el-GR"/>
        </w:rPr>
        <w:t>). Το επίπεδο στατιστικής σημαντικότητας των αναλ</w:t>
      </w:r>
      <w:r w:rsidR="0062666C" w:rsidRPr="00BF0161">
        <w:rPr>
          <w:rStyle w:val="textexposedshow"/>
          <w:szCs w:val="26"/>
          <w:lang w:val="el-GR"/>
        </w:rPr>
        <w:t xml:space="preserve">ύσεων καθορίστηκε στο </w:t>
      </w:r>
      <w:r w:rsidR="0062666C">
        <w:rPr>
          <w:rStyle w:val="textexposedshow"/>
          <w:szCs w:val="26"/>
        </w:rPr>
        <w:t>p</w:t>
      </w:r>
      <w:r w:rsidR="0062666C" w:rsidRPr="00BF0161">
        <w:rPr>
          <w:rStyle w:val="textexposedshow"/>
          <w:szCs w:val="26"/>
          <w:lang w:val="el-GR"/>
        </w:rPr>
        <w:t>&lt; 0.05. Ο</w:t>
      </w:r>
      <w:r w:rsidRPr="00BF0161">
        <w:rPr>
          <w:rStyle w:val="textexposedshow"/>
          <w:szCs w:val="26"/>
          <w:lang w:val="el-GR"/>
        </w:rPr>
        <w:t xml:space="preserve">ι στατιστικές αναλύσεις έγιναν με το στατιστικό πακέτο </w:t>
      </w:r>
      <w:r>
        <w:rPr>
          <w:rStyle w:val="textexposedshow"/>
          <w:szCs w:val="26"/>
        </w:rPr>
        <w:t>SPSS</w:t>
      </w:r>
      <w:r w:rsidRPr="00BF0161">
        <w:rPr>
          <w:rStyle w:val="textexposedshow"/>
          <w:szCs w:val="26"/>
          <w:lang w:val="el-GR"/>
        </w:rPr>
        <w:t xml:space="preserve"> (</w:t>
      </w:r>
      <w:r>
        <w:rPr>
          <w:rStyle w:val="textexposedshow"/>
          <w:szCs w:val="26"/>
        </w:rPr>
        <w:t>version</w:t>
      </w:r>
      <w:r w:rsidRPr="00BF0161">
        <w:rPr>
          <w:rStyle w:val="textexposedshow"/>
          <w:szCs w:val="26"/>
          <w:lang w:val="el-GR"/>
        </w:rPr>
        <w:t xml:space="preserve"> 19.0, </w:t>
      </w:r>
      <w:r>
        <w:rPr>
          <w:rStyle w:val="textexposedshow"/>
          <w:szCs w:val="26"/>
        </w:rPr>
        <w:t>Armonk</w:t>
      </w:r>
      <w:r w:rsidRPr="00BF0161">
        <w:rPr>
          <w:rStyle w:val="textexposedshow"/>
          <w:szCs w:val="26"/>
          <w:lang w:val="el-GR"/>
        </w:rPr>
        <w:t xml:space="preserve">, </w:t>
      </w:r>
      <w:r>
        <w:rPr>
          <w:rStyle w:val="textexposedshow"/>
          <w:szCs w:val="26"/>
        </w:rPr>
        <w:t>NY</w:t>
      </w:r>
      <w:r w:rsidRPr="00BF0161">
        <w:rPr>
          <w:rStyle w:val="textexposedshow"/>
          <w:szCs w:val="26"/>
          <w:lang w:val="el-GR"/>
        </w:rPr>
        <w:t xml:space="preserve">, </w:t>
      </w:r>
      <w:r>
        <w:rPr>
          <w:rStyle w:val="textexposedshow"/>
          <w:szCs w:val="26"/>
        </w:rPr>
        <w:t>USA</w:t>
      </w:r>
      <w:r w:rsidRPr="00BF0161">
        <w:rPr>
          <w:rStyle w:val="textexposedshow"/>
          <w:szCs w:val="26"/>
          <w:lang w:val="el-GR"/>
        </w:rPr>
        <w:t>).</w:t>
      </w:r>
    </w:p>
    <w:p w14:paraId="6583272A" w14:textId="77777777" w:rsidR="00146CE2" w:rsidRPr="00BF0161" w:rsidRDefault="00146CE2">
      <w:pPr>
        <w:spacing w:after="120" w:line="360" w:lineRule="auto"/>
        <w:jc w:val="both"/>
        <w:rPr>
          <w:b/>
          <w:sz w:val="28"/>
          <w:lang w:val="el-GR"/>
        </w:rPr>
      </w:pPr>
    </w:p>
    <w:p w14:paraId="738274E2" w14:textId="77777777" w:rsidR="00146CE2" w:rsidRPr="00456D14" w:rsidRDefault="00DB0AA3" w:rsidP="00456D14">
      <w:pPr>
        <w:pStyle w:val="2"/>
        <w:spacing w:before="0" w:line="360" w:lineRule="auto"/>
        <w:rPr>
          <w:b/>
          <w:sz w:val="28"/>
        </w:rPr>
      </w:pPr>
      <w:bookmarkStart w:id="57" w:name="_Toc493323993"/>
      <w:r w:rsidRPr="00456D14">
        <w:rPr>
          <w:b/>
          <w:sz w:val="28"/>
        </w:rPr>
        <w:t>2.6  Περιορισμοί της έρευνας</w:t>
      </w:r>
      <w:bookmarkEnd w:id="57"/>
      <w:r w:rsidRPr="00456D14">
        <w:rPr>
          <w:b/>
          <w:sz w:val="28"/>
        </w:rPr>
        <w:t xml:space="preserve"> </w:t>
      </w:r>
    </w:p>
    <w:p w14:paraId="6ECB0141" w14:textId="77777777" w:rsidR="00146CE2" w:rsidRPr="00BF0161" w:rsidRDefault="00DB0AA3">
      <w:pPr>
        <w:spacing w:after="120" w:line="360" w:lineRule="auto"/>
        <w:jc w:val="both"/>
        <w:rPr>
          <w:lang w:val="el-GR"/>
        </w:rPr>
      </w:pPr>
      <w:r w:rsidRPr="00BF0161">
        <w:rPr>
          <w:lang w:val="el-GR"/>
        </w:rPr>
        <w:t xml:space="preserve">Κατά τη διεξαγωγή της έρευνας χρειάστηκε να αντιμετωπιστούν ορισμένα προβλήματα. Το κυριότερο από αυτά ήταν η εύρεση ατόμων, ιδίως αυτών που εντάσσονταν στις ηλικιακές ομάδες 40-50 ετών και 70 και άνω. Επιπλέον, κάποιοι αρνήθηκαν να συμμετάσχουν στην έρευνα για λόγους άγνωστους προς εμάς. Υπήρξαν και άτομα πρόθυμα, τα οποία, όμως, είτε λόγω αδυναμίας κατανόησης του περιεχομένου των ερωτήσεων, είτε λόγω μεγάλης ηλικίας, ή ανεπαρκών γνώσεων, δεν έλαβαν τελικά μέρος στην διαδικασία. </w:t>
      </w:r>
    </w:p>
    <w:p w14:paraId="7CFBFDE4" w14:textId="77777777" w:rsidR="00146CE2" w:rsidRPr="00BF0161" w:rsidRDefault="00DB0AA3">
      <w:pPr>
        <w:spacing w:after="120" w:line="360" w:lineRule="auto"/>
        <w:jc w:val="both"/>
        <w:rPr>
          <w:lang w:val="el-GR"/>
        </w:rPr>
      </w:pPr>
      <w:r w:rsidRPr="00BF0161">
        <w:rPr>
          <w:lang w:val="el-GR"/>
        </w:rPr>
        <w:lastRenderedPageBreak/>
        <w:t xml:space="preserve">Ως αποτέλεσμα των παραπάνω παραγόντων καθυστέρησε  η ολοκλήρωση της δειγματοληψίας. </w:t>
      </w:r>
    </w:p>
    <w:p w14:paraId="6A480797" w14:textId="77777777" w:rsidR="00146CE2" w:rsidRPr="00BF0161" w:rsidRDefault="00146CE2">
      <w:pPr>
        <w:spacing w:after="120" w:line="360" w:lineRule="auto"/>
        <w:jc w:val="both"/>
        <w:rPr>
          <w:lang w:val="el-GR"/>
        </w:rPr>
      </w:pPr>
    </w:p>
    <w:p w14:paraId="68581E1E" w14:textId="77777777" w:rsidR="00146CE2" w:rsidRDefault="00146CE2">
      <w:pPr>
        <w:spacing w:after="120" w:line="360" w:lineRule="auto"/>
        <w:jc w:val="both"/>
        <w:rPr>
          <w:lang w:val="el-GR"/>
        </w:rPr>
      </w:pPr>
    </w:p>
    <w:p w14:paraId="1788652E" w14:textId="77777777" w:rsidR="00BD0653" w:rsidRDefault="00BD0653">
      <w:pPr>
        <w:spacing w:after="120" w:line="360" w:lineRule="auto"/>
        <w:jc w:val="both"/>
        <w:rPr>
          <w:lang w:val="el-GR"/>
        </w:rPr>
      </w:pPr>
    </w:p>
    <w:p w14:paraId="669E47FC" w14:textId="77777777" w:rsidR="00BD0653" w:rsidRDefault="00BD0653">
      <w:pPr>
        <w:spacing w:after="120" w:line="360" w:lineRule="auto"/>
        <w:jc w:val="both"/>
        <w:rPr>
          <w:lang w:val="el-GR"/>
        </w:rPr>
      </w:pPr>
    </w:p>
    <w:p w14:paraId="613C8A2D" w14:textId="77777777" w:rsidR="00BD0653" w:rsidRDefault="00BD0653">
      <w:pPr>
        <w:spacing w:after="120" w:line="360" w:lineRule="auto"/>
        <w:jc w:val="both"/>
        <w:rPr>
          <w:lang w:val="el-GR"/>
        </w:rPr>
      </w:pPr>
    </w:p>
    <w:p w14:paraId="6A8DD54F" w14:textId="77777777" w:rsidR="00BD0653" w:rsidRDefault="00BD0653">
      <w:pPr>
        <w:spacing w:after="120" w:line="360" w:lineRule="auto"/>
        <w:jc w:val="both"/>
        <w:rPr>
          <w:lang w:val="el-GR"/>
        </w:rPr>
      </w:pPr>
    </w:p>
    <w:p w14:paraId="5E3D264B" w14:textId="77777777" w:rsidR="00BD0653" w:rsidRDefault="00BD0653">
      <w:pPr>
        <w:spacing w:after="120" w:line="360" w:lineRule="auto"/>
        <w:jc w:val="both"/>
        <w:rPr>
          <w:lang w:val="el-GR"/>
        </w:rPr>
      </w:pPr>
    </w:p>
    <w:p w14:paraId="6AF2E8FB" w14:textId="77777777" w:rsidR="00BD0653" w:rsidRDefault="00BD0653">
      <w:pPr>
        <w:spacing w:after="120" w:line="360" w:lineRule="auto"/>
        <w:jc w:val="both"/>
        <w:rPr>
          <w:lang w:val="el-GR"/>
        </w:rPr>
      </w:pPr>
    </w:p>
    <w:p w14:paraId="03E0C7F1" w14:textId="77777777" w:rsidR="00BD0653" w:rsidRDefault="00BD0653">
      <w:pPr>
        <w:spacing w:after="120" w:line="360" w:lineRule="auto"/>
        <w:jc w:val="both"/>
        <w:rPr>
          <w:lang w:val="el-GR"/>
        </w:rPr>
      </w:pPr>
    </w:p>
    <w:p w14:paraId="61632B9C" w14:textId="77777777" w:rsidR="00BD0653" w:rsidRDefault="00BD0653">
      <w:pPr>
        <w:spacing w:after="120" w:line="360" w:lineRule="auto"/>
        <w:jc w:val="both"/>
        <w:rPr>
          <w:lang w:val="el-GR"/>
        </w:rPr>
      </w:pPr>
    </w:p>
    <w:p w14:paraId="348CEF51" w14:textId="77777777" w:rsidR="00BD0653" w:rsidRDefault="00BD0653">
      <w:pPr>
        <w:spacing w:after="120" w:line="360" w:lineRule="auto"/>
        <w:jc w:val="both"/>
        <w:rPr>
          <w:lang w:val="el-GR"/>
        </w:rPr>
      </w:pPr>
    </w:p>
    <w:p w14:paraId="1DC5C2A1" w14:textId="77777777" w:rsidR="00BD0653" w:rsidRDefault="00BD0653">
      <w:pPr>
        <w:spacing w:after="120" w:line="360" w:lineRule="auto"/>
        <w:jc w:val="both"/>
        <w:rPr>
          <w:lang w:val="el-GR"/>
        </w:rPr>
      </w:pPr>
    </w:p>
    <w:p w14:paraId="46C869EA" w14:textId="77777777" w:rsidR="00BD0653" w:rsidRDefault="00BD0653">
      <w:pPr>
        <w:spacing w:after="120" w:line="360" w:lineRule="auto"/>
        <w:jc w:val="both"/>
        <w:rPr>
          <w:lang w:val="el-GR"/>
        </w:rPr>
      </w:pPr>
    </w:p>
    <w:p w14:paraId="1193FE2B" w14:textId="77777777" w:rsidR="00BD0653" w:rsidRDefault="00BD0653">
      <w:pPr>
        <w:spacing w:after="120" w:line="360" w:lineRule="auto"/>
        <w:jc w:val="both"/>
        <w:rPr>
          <w:lang w:val="el-GR"/>
        </w:rPr>
      </w:pPr>
    </w:p>
    <w:p w14:paraId="758A6806" w14:textId="77777777" w:rsidR="00BD0653" w:rsidRDefault="00BD0653">
      <w:pPr>
        <w:spacing w:after="120" w:line="360" w:lineRule="auto"/>
        <w:jc w:val="both"/>
        <w:rPr>
          <w:lang w:val="el-GR"/>
        </w:rPr>
      </w:pPr>
    </w:p>
    <w:p w14:paraId="59C5950E" w14:textId="77777777" w:rsidR="00BD0653" w:rsidRDefault="00BD0653">
      <w:pPr>
        <w:spacing w:after="120" w:line="360" w:lineRule="auto"/>
        <w:jc w:val="both"/>
        <w:rPr>
          <w:lang w:val="el-GR"/>
        </w:rPr>
      </w:pPr>
    </w:p>
    <w:p w14:paraId="0BF42310" w14:textId="77777777" w:rsidR="00BD0653" w:rsidRDefault="00BD0653">
      <w:pPr>
        <w:spacing w:after="120" w:line="360" w:lineRule="auto"/>
        <w:jc w:val="both"/>
        <w:rPr>
          <w:lang w:val="el-GR"/>
        </w:rPr>
      </w:pPr>
    </w:p>
    <w:p w14:paraId="2FF1E2A6" w14:textId="77777777" w:rsidR="00BD0653" w:rsidRPr="00BF0161" w:rsidRDefault="00BD0653">
      <w:pPr>
        <w:spacing w:after="120" w:line="360" w:lineRule="auto"/>
        <w:jc w:val="both"/>
        <w:rPr>
          <w:lang w:val="el-GR"/>
        </w:rPr>
      </w:pPr>
    </w:p>
    <w:p w14:paraId="6D90B8DE" w14:textId="77777777" w:rsidR="005D0950" w:rsidRPr="00BF0161" w:rsidRDefault="005D0950">
      <w:pPr>
        <w:spacing w:after="120" w:line="360" w:lineRule="auto"/>
        <w:jc w:val="both"/>
        <w:rPr>
          <w:lang w:val="el-GR"/>
        </w:rPr>
      </w:pPr>
    </w:p>
    <w:p w14:paraId="64111030" w14:textId="77777777" w:rsidR="00403EE9" w:rsidRPr="00DA4172" w:rsidRDefault="00403EE9" w:rsidP="00403EE9">
      <w:pPr>
        <w:rPr>
          <w:lang w:val="el-GR" w:eastAsia="en-US"/>
        </w:rPr>
      </w:pPr>
    </w:p>
    <w:p w14:paraId="7DA6DEDF" w14:textId="77777777" w:rsidR="002C67F5" w:rsidRPr="006A6326" w:rsidRDefault="00403EE9" w:rsidP="00403EE9">
      <w:pPr>
        <w:pStyle w:val="1"/>
        <w:spacing w:before="0" w:after="120" w:line="360" w:lineRule="auto"/>
        <w:rPr>
          <w:rFonts w:cs="Times New Roman"/>
          <w:b w:val="0"/>
          <w:lang w:val="el-GR"/>
        </w:rPr>
      </w:pPr>
      <w:bookmarkStart w:id="58" w:name="_Toc493323994"/>
      <w:r>
        <w:rPr>
          <w:rFonts w:cs="Times New Roman"/>
          <w:lang w:val="el-GR"/>
        </w:rPr>
        <w:t>Κεφάλαιο</w:t>
      </w:r>
      <w:r w:rsidR="002C67F5" w:rsidRPr="006A6326">
        <w:rPr>
          <w:rFonts w:cs="Times New Roman"/>
          <w:lang w:val="el-GR"/>
        </w:rPr>
        <w:t xml:space="preserve"> </w:t>
      </w:r>
      <w:r>
        <w:rPr>
          <w:rFonts w:cs="Times New Roman"/>
          <w:lang w:val="el-GR"/>
        </w:rPr>
        <w:t>3:</w:t>
      </w:r>
      <w:r w:rsidR="002C67F5" w:rsidRPr="006A6326">
        <w:rPr>
          <w:rFonts w:cs="Times New Roman"/>
          <w:lang w:val="el-GR"/>
        </w:rPr>
        <w:t xml:space="preserve"> Αποτελέσματα της Έρευνας</w:t>
      </w:r>
      <w:bookmarkEnd w:id="58"/>
    </w:p>
    <w:p w14:paraId="05C0FE43" w14:textId="77777777" w:rsidR="002C67F5" w:rsidRDefault="002C67F5" w:rsidP="00403EE9">
      <w:pPr>
        <w:spacing w:after="120" w:line="360" w:lineRule="auto"/>
        <w:jc w:val="both"/>
        <w:rPr>
          <w:lang w:val="el-GR"/>
        </w:rPr>
      </w:pPr>
      <w:r w:rsidRPr="00BF0161">
        <w:rPr>
          <w:lang w:val="el-GR"/>
        </w:rPr>
        <w:t>Σε αυτό το κεφάλαιο παρουσιάζονται τα στατιστικά αποτελέσματα της μελέτης</w:t>
      </w:r>
      <w:r w:rsidR="007C6E64">
        <w:rPr>
          <w:lang w:val="el-GR"/>
        </w:rPr>
        <w:t>,</w:t>
      </w:r>
      <w:r w:rsidRPr="00BF0161">
        <w:rPr>
          <w:lang w:val="el-GR"/>
        </w:rPr>
        <w:t xml:space="preserve"> κοινώς περιλαμβάνονται τα στατιστικά αποτελέσματα που προέκυψαν μέσω της συλλογής του δείγματος της έρευνας και της κωδικοποίησης των δεδομένων που καταγράφηκαν.</w:t>
      </w:r>
    </w:p>
    <w:p w14:paraId="57E6FD85" w14:textId="77777777" w:rsidR="00D21334" w:rsidRPr="00BF0161" w:rsidRDefault="00D21334" w:rsidP="00403EE9">
      <w:pPr>
        <w:spacing w:after="120" w:line="360" w:lineRule="auto"/>
        <w:jc w:val="both"/>
        <w:rPr>
          <w:lang w:val="el-GR"/>
        </w:rPr>
      </w:pPr>
    </w:p>
    <w:p w14:paraId="5398C576" w14:textId="77777777" w:rsidR="002C67F5" w:rsidRPr="00DE400E" w:rsidRDefault="002C67F5" w:rsidP="00DE400E">
      <w:pPr>
        <w:pStyle w:val="2"/>
        <w:spacing w:before="0" w:line="360" w:lineRule="auto"/>
        <w:rPr>
          <w:b/>
          <w:sz w:val="28"/>
        </w:rPr>
      </w:pPr>
      <w:bookmarkStart w:id="59" w:name="_Toc493323995"/>
      <w:r w:rsidRPr="00DE400E">
        <w:rPr>
          <w:b/>
          <w:sz w:val="28"/>
        </w:rPr>
        <w:t>3.1</w:t>
      </w:r>
      <w:r w:rsidR="00403EE9" w:rsidRPr="00DE400E">
        <w:rPr>
          <w:b/>
          <w:sz w:val="28"/>
        </w:rPr>
        <w:t xml:space="preserve"> Γενικές αναλύσεις</w:t>
      </w:r>
      <w:bookmarkEnd w:id="59"/>
      <w:r w:rsidR="00403EE9" w:rsidRPr="00DE400E">
        <w:rPr>
          <w:b/>
          <w:sz w:val="28"/>
        </w:rPr>
        <w:t xml:space="preserve"> </w:t>
      </w:r>
    </w:p>
    <w:p w14:paraId="26DC1A28" w14:textId="77777777" w:rsidR="002C67F5" w:rsidRPr="00BF0161" w:rsidRDefault="002C67F5" w:rsidP="00403EE9">
      <w:pPr>
        <w:spacing w:after="120" w:line="360" w:lineRule="auto"/>
        <w:jc w:val="both"/>
        <w:rPr>
          <w:lang w:val="el-GR"/>
        </w:rPr>
      </w:pPr>
      <w:r w:rsidRPr="00BF0161">
        <w:rPr>
          <w:lang w:val="el-GR"/>
        </w:rPr>
        <w:t xml:space="preserve">Σε αυτό το </w:t>
      </w:r>
      <w:proofErr w:type="spellStart"/>
      <w:r w:rsidRPr="00BF0161">
        <w:rPr>
          <w:lang w:val="el-GR"/>
        </w:rPr>
        <w:t>υποκεφάλαιο</w:t>
      </w:r>
      <w:proofErr w:type="spellEnd"/>
      <w:r w:rsidRPr="00BF0161">
        <w:rPr>
          <w:lang w:val="el-GR"/>
        </w:rPr>
        <w:t xml:space="preserve"> αναφέρονται τα δημογραφικά και συγκριτικά δεδομένα που προέκυψαν από την χορήγηση της κλίμακας αυτοαντίληψης της </w:t>
      </w:r>
      <w:r w:rsidR="00A20529" w:rsidRPr="00BF0161">
        <w:rPr>
          <w:lang w:val="el-GR"/>
        </w:rPr>
        <w:t>ικανότητας κατάποσης</w:t>
      </w:r>
      <w:r w:rsidRPr="00BF0161">
        <w:rPr>
          <w:lang w:val="el-GR"/>
        </w:rPr>
        <w:t xml:space="preserve">. Στον πίνακα 3-1, ο οποίος ακολουθεί, περιέχει συγκεντρωτικά δημογραφικά δεδομένα σε επίπεδο μέσων όρων ηλικίας και </w:t>
      </w:r>
      <w:r w:rsidRPr="00BF0161">
        <w:rPr>
          <w:lang w:val="el-GR"/>
        </w:rPr>
        <w:lastRenderedPageBreak/>
        <w:t xml:space="preserve">τυπικής απόκλισης, τον αριθμό αντρών και γυναικών στο σύνολο του δείγματος και </w:t>
      </w:r>
      <w:r w:rsidR="00A20529" w:rsidRPr="00BF0161">
        <w:rPr>
          <w:lang w:val="el-GR"/>
        </w:rPr>
        <w:t>ανά</w:t>
      </w:r>
      <w:r w:rsidRPr="00BF0161">
        <w:rPr>
          <w:lang w:val="el-GR"/>
        </w:rPr>
        <w:t xml:space="preserve"> ηλικιακή ομάδα.</w:t>
      </w:r>
    </w:p>
    <w:p w14:paraId="64E445A6" w14:textId="77777777" w:rsidR="00A20529" w:rsidRPr="00BF0161" w:rsidRDefault="00A20529" w:rsidP="00D21334">
      <w:pPr>
        <w:spacing w:line="360" w:lineRule="auto"/>
        <w:jc w:val="both"/>
        <w:rPr>
          <w:sz w:val="12"/>
          <w:szCs w:val="12"/>
          <w:lang w:val="el-GR"/>
        </w:rPr>
      </w:pPr>
    </w:p>
    <w:tbl>
      <w:tblPr>
        <w:tblStyle w:val="LightShading1"/>
        <w:tblW w:w="8521" w:type="dxa"/>
        <w:jc w:val="center"/>
        <w:tblLook w:val="04A0" w:firstRow="1" w:lastRow="0" w:firstColumn="1" w:lastColumn="0" w:noHBand="0" w:noVBand="1"/>
      </w:tblPr>
      <w:tblGrid>
        <w:gridCol w:w="3105"/>
        <w:gridCol w:w="1967"/>
        <w:gridCol w:w="2159"/>
        <w:gridCol w:w="1238"/>
        <w:gridCol w:w="52"/>
      </w:tblGrid>
      <w:tr w:rsidR="002C67F5" w:rsidRPr="00950F26" w14:paraId="19422AAF" w14:textId="77777777" w:rsidTr="001D70E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231" w:type="dxa"/>
            <w:gridSpan w:val="3"/>
          </w:tcPr>
          <w:p w14:paraId="2450D855" w14:textId="77777777" w:rsidR="002C67F5" w:rsidRPr="006A6326" w:rsidRDefault="002C67F5" w:rsidP="00D21334">
            <w:pPr>
              <w:spacing w:line="360" w:lineRule="auto"/>
              <w:jc w:val="both"/>
              <w:rPr>
                <w:rFonts w:cs="Times New Roman"/>
                <w:sz w:val="24"/>
                <w:szCs w:val="24"/>
                <w:lang w:val="el-GR"/>
              </w:rPr>
            </w:pPr>
            <w:r w:rsidRPr="006A6326">
              <w:rPr>
                <w:rFonts w:cs="Times New Roman"/>
                <w:sz w:val="24"/>
                <w:szCs w:val="24"/>
                <w:lang w:val="el-GR"/>
              </w:rPr>
              <w:t>Πίνακας 3-1. Τα δημογραφικά δεδομένα της μελέτης.</w:t>
            </w:r>
          </w:p>
        </w:tc>
        <w:tc>
          <w:tcPr>
            <w:tcW w:w="1290" w:type="dxa"/>
            <w:gridSpan w:val="2"/>
          </w:tcPr>
          <w:p w14:paraId="4C88055A" w14:textId="77777777" w:rsidR="002C67F5" w:rsidRPr="006A6326" w:rsidRDefault="002C67F5" w:rsidP="00D21334">
            <w:pPr>
              <w:spacing w:line="360" w:lineRule="auto"/>
              <w:jc w:val="both"/>
              <w:cnfStyle w:val="100000000000" w:firstRow="1" w:lastRow="0" w:firstColumn="0" w:lastColumn="0" w:oddVBand="0" w:evenVBand="0" w:oddHBand="0" w:evenHBand="0" w:firstRowFirstColumn="0" w:firstRowLastColumn="0" w:lastRowFirstColumn="0" w:lastRowLastColumn="0"/>
              <w:rPr>
                <w:rFonts w:cs="Times New Roman"/>
                <w:b w:val="0"/>
                <w:bCs w:val="0"/>
                <w:sz w:val="24"/>
                <w:szCs w:val="24"/>
                <w:lang w:val="el-GR"/>
              </w:rPr>
            </w:pPr>
          </w:p>
        </w:tc>
      </w:tr>
      <w:tr w:rsidR="002C67F5" w:rsidRPr="00023EC0" w14:paraId="5D8824E8" w14:textId="77777777" w:rsidTr="001D70EF">
        <w:trPr>
          <w:cnfStyle w:val="000000100000" w:firstRow="0" w:lastRow="0" w:firstColumn="0" w:lastColumn="0" w:oddVBand="0" w:evenVBand="0" w:oddHBand="1" w:evenHBand="0" w:firstRowFirstColumn="0" w:firstRowLastColumn="0" w:lastRowFirstColumn="0" w:lastRowLastColumn="0"/>
          <w:trHeight w:val="114"/>
          <w:jc w:val="center"/>
        </w:trPr>
        <w:tc>
          <w:tcPr>
            <w:cnfStyle w:val="001000000000" w:firstRow="0" w:lastRow="0" w:firstColumn="1" w:lastColumn="0" w:oddVBand="0" w:evenVBand="0" w:oddHBand="0" w:evenHBand="0" w:firstRowFirstColumn="0" w:firstRowLastColumn="0" w:lastRowFirstColumn="0" w:lastRowLastColumn="0"/>
            <w:tcW w:w="3105" w:type="dxa"/>
            <w:shd w:val="clear" w:color="auto" w:fill="auto"/>
            <w:vAlign w:val="center"/>
          </w:tcPr>
          <w:p w14:paraId="1A6C3F03" w14:textId="77777777" w:rsidR="002C67F5" w:rsidRPr="006A6326" w:rsidRDefault="002C67F5" w:rsidP="00D21334">
            <w:pPr>
              <w:spacing w:line="360" w:lineRule="auto"/>
              <w:jc w:val="center"/>
              <w:rPr>
                <w:rFonts w:cs="Times New Roman"/>
                <w:sz w:val="24"/>
                <w:szCs w:val="24"/>
                <w:lang w:val="el-GR"/>
              </w:rPr>
            </w:pPr>
          </w:p>
        </w:tc>
        <w:tc>
          <w:tcPr>
            <w:tcW w:w="1967" w:type="dxa"/>
            <w:shd w:val="clear" w:color="auto" w:fill="auto"/>
            <w:vAlign w:val="center"/>
          </w:tcPr>
          <w:p w14:paraId="45BA1BD9" w14:textId="77777777" w:rsidR="002C67F5" w:rsidRPr="00023EC0" w:rsidRDefault="002C67F5" w:rsidP="00D21334">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b/>
                <w:sz w:val="24"/>
                <w:szCs w:val="24"/>
              </w:rPr>
            </w:pPr>
            <w:proofErr w:type="spellStart"/>
            <w:r w:rsidRPr="00023EC0">
              <w:rPr>
                <w:rFonts w:cs="Times New Roman"/>
                <w:b/>
                <w:sz w:val="24"/>
                <w:szCs w:val="24"/>
              </w:rPr>
              <w:t>Ηλικί</w:t>
            </w:r>
            <w:proofErr w:type="spellEnd"/>
            <w:r w:rsidRPr="00023EC0">
              <w:rPr>
                <w:rFonts w:cs="Times New Roman"/>
                <w:b/>
                <w:sz w:val="24"/>
                <w:szCs w:val="24"/>
              </w:rPr>
              <w:t>α</w:t>
            </w:r>
          </w:p>
        </w:tc>
        <w:tc>
          <w:tcPr>
            <w:tcW w:w="2159" w:type="dxa"/>
            <w:shd w:val="clear" w:color="auto" w:fill="auto"/>
            <w:vAlign w:val="center"/>
          </w:tcPr>
          <w:p w14:paraId="0FCB31CC" w14:textId="77777777" w:rsidR="002C67F5" w:rsidRPr="00023EC0" w:rsidRDefault="002C67F5" w:rsidP="00D21334">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b/>
                <w:sz w:val="24"/>
                <w:szCs w:val="24"/>
              </w:rPr>
            </w:pPr>
            <w:r>
              <w:rPr>
                <w:rFonts w:cs="Times New Roman"/>
                <w:b/>
                <w:sz w:val="24"/>
                <w:szCs w:val="24"/>
              </w:rPr>
              <w:t>N</w:t>
            </w:r>
          </w:p>
        </w:tc>
        <w:tc>
          <w:tcPr>
            <w:tcW w:w="1290" w:type="dxa"/>
            <w:gridSpan w:val="2"/>
            <w:shd w:val="clear" w:color="auto" w:fill="auto"/>
            <w:vAlign w:val="center"/>
          </w:tcPr>
          <w:p w14:paraId="01420A0C" w14:textId="77777777" w:rsidR="002C67F5" w:rsidRPr="00023EC0" w:rsidRDefault="002C67F5" w:rsidP="00D21334">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b/>
                <w:sz w:val="24"/>
                <w:szCs w:val="24"/>
              </w:rPr>
            </w:pPr>
            <w:r>
              <w:rPr>
                <w:rFonts w:cs="Times New Roman"/>
                <w:b/>
                <w:sz w:val="24"/>
                <w:szCs w:val="24"/>
              </w:rPr>
              <w:t>p-level</w:t>
            </w:r>
          </w:p>
        </w:tc>
      </w:tr>
      <w:tr w:rsidR="002C67F5" w:rsidRPr="00667533" w14:paraId="53AD1662" w14:textId="77777777" w:rsidTr="001D70EF">
        <w:trPr>
          <w:jc w:val="center"/>
        </w:trPr>
        <w:tc>
          <w:tcPr>
            <w:cnfStyle w:val="001000000000" w:firstRow="0" w:lastRow="0" w:firstColumn="1" w:lastColumn="0" w:oddVBand="0" w:evenVBand="0" w:oddHBand="0" w:evenHBand="0" w:firstRowFirstColumn="0" w:firstRowLastColumn="0" w:lastRowFirstColumn="0" w:lastRowLastColumn="0"/>
            <w:tcW w:w="3105" w:type="dxa"/>
            <w:shd w:val="clear" w:color="auto" w:fill="auto"/>
            <w:vAlign w:val="center"/>
          </w:tcPr>
          <w:p w14:paraId="4AFCBB1D" w14:textId="77777777" w:rsidR="002C67F5" w:rsidRPr="00EC5A10" w:rsidRDefault="002C67F5" w:rsidP="00D21334">
            <w:pPr>
              <w:spacing w:line="360" w:lineRule="auto"/>
              <w:jc w:val="center"/>
              <w:rPr>
                <w:rFonts w:cs="Times New Roman"/>
                <w:sz w:val="24"/>
                <w:szCs w:val="24"/>
              </w:rPr>
            </w:pPr>
            <w:proofErr w:type="spellStart"/>
            <w:r>
              <w:rPr>
                <w:rFonts w:cs="Times New Roman"/>
                <w:sz w:val="24"/>
                <w:szCs w:val="24"/>
              </w:rPr>
              <w:t>Ηλικι</w:t>
            </w:r>
            <w:proofErr w:type="spellEnd"/>
            <w:r>
              <w:rPr>
                <w:rFonts w:cs="Times New Roman"/>
                <w:sz w:val="24"/>
                <w:szCs w:val="24"/>
              </w:rPr>
              <w:t xml:space="preserve">ακή </w:t>
            </w:r>
            <w:proofErr w:type="spellStart"/>
            <w:r>
              <w:rPr>
                <w:rFonts w:cs="Times New Roman"/>
                <w:sz w:val="24"/>
                <w:szCs w:val="24"/>
              </w:rPr>
              <w:t>ομάδ</w:t>
            </w:r>
            <w:proofErr w:type="spellEnd"/>
            <w:r>
              <w:rPr>
                <w:rFonts w:cs="Times New Roman"/>
                <w:sz w:val="24"/>
                <w:szCs w:val="24"/>
              </w:rPr>
              <w:t xml:space="preserve">α 18-30 </w:t>
            </w:r>
            <w:proofErr w:type="spellStart"/>
            <w:r>
              <w:rPr>
                <w:rFonts w:cs="Times New Roman"/>
                <w:sz w:val="24"/>
                <w:szCs w:val="24"/>
              </w:rPr>
              <w:t>ετών</w:t>
            </w:r>
            <w:proofErr w:type="spellEnd"/>
          </w:p>
        </w:tc>
        <w:tc>
          <w:tcPr>
            <w:tcW w:w="1967" w:type="dxa"/>
            <w:shd w:val="clear" w:color="auto" w:fill="auto"/>
            <w:vAlign w:val="center"/>
          </w:tcPr>
          <w:p w14:paraId="5CA31CE1" w14:textId="77777777" w:rsidR="002C67F5" w:rsidRPr="00F25A0F" w:rsidRDefault="00F25A0F" w:rsidP="00D21334">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4"/>
                <w:szCs w:val="24"/>
                <w:lang w:val="el-GR"/>
              </w:rPr>
            </w:pPr>
            <w:r w:rsidRPr="00F25A0F">
              <w:rPr>
                <w:rFonts w:cs="Times New Roman"/>
                <w:sz w:val="24"/>
                <w:szCs w:val="24"/>
                <w:lang w:val="el-GR"/>
              </w:rPr>
              <w:t>22.</w:t>
            </w:r>
            <w:r>
              <w:rPr>
                <w:rFonts w:cs="Times New Roman"/>
                <w:sz w:val="24"/>
                <w:szCs w:val="24"/>
                <w:lang w:val="el-GR"/>
              </w:rPr>
              <w:t>50</w:t>
            </w:r>
            <w:r w:rsidR="002C67F5" w:rsidRPr="00F25A0F">
              <w:rPr>
                <w:rFonts w:cs="Times New Roman"/>
                <w:sz w:val="24"/>
                <w:szCs w:val="24"/>
                <w:lang w:val="el-GR"/>
              </w:rPr>
              <w:t xml:space="preserve"> (</w:t>
            </w:r>
            <w:r w:rsidR="002C67F5">
              <w:rPr>
                <w:rFonts w:cs="Times New Roman"/>
                <w:sz w:val="24"/>
                <w:szCs w:val="24"/>
              </w:rPr>
              <w:sym w:font="Symbol" w:char="F0B1"/>
            </w:r>
            <w:r>
              <w:rPr>
                <w:rFonts w:cs="Times New Roman"/>
                <w:sz w:val="24"/>
                <w:szCs w:val="24"/>
                <w:lang w:val="el-GR"/>
              </w:rPr>
              <w:t>2.7</w:t>
            </w:r>
            <w:r w:rsidR="002C67F5" w:rsidRPr="00F25A0F">
              <w:rPr>
                <w:rFonts w:cs="Times New Roman"/>
                <w:sz w:val="24"/>
                <w:szCs w:val="24"/>
                <w:lang w:val="el-GR"/>
              </w:rPr>
              <w:t>5)</w:t>
            </w:r>
          </w:p>
        </w:tc>
        <w:tc>
          <w:tcPr>
            <w:tcW w:w="2159" w:type="dxa"/>
            <w:shd w:val="clear" w:color="auto" w:fill="auto"/>
            <w:vAlign w:val="center"/>
          </w:tcPr>
          <w:p w14:paraId="7897B94E" w14:textId="77777777" w:rsidR="002C67F5" w:rsidRPr="00F25A0F" w:rsidRDefault="00F25A0F" w:rsidP="00D21334">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b/>
                <w:sz w:val="24"/>
                <w:szCs w:val="24"/>
                <w:lang w:val="el-GR"/>
              </w:rPr>
            </w:pPr>
            <w:r w:rsidRPr="00F25A0F">
              <w:rPr>
                <w:rFonts w:cs="Times New Roman"/>
                <w:b/>
                <w:sz w:val="24"/>
                <w:szCs w:val="24"/>
                <w:lang w:val="el-GR"/>
              </w:rPr>
              <w:t>60</w:t>
            </w:r>
          </w:p>
        </w:tc>
        <w:tc>
          <w:tcPr>
            <w:tcW w:w="1290" w:type="dxa"/>
            <w:gridSpan w:val="2"/>
            <w:shd w:val="clear" w:color="auto" w:fill="auto"/>
            <w:vAlign w:val="center"/>
          </w:tcPr>
          <w:p w14:paraId="6FACCFCE" w14:textId="77777777" w:rsidR="002C67F5" w:rsidRPr="00F25A0F" w:rsidRDefault="002C67F5" w:rsidP="00D21334">
            <w:pPr>
              <w:spacing w:line="360" w:lineRule="auto"/>
              <w:jc w:val="center"/>
              <w:cnfStyle w:val="000000000000" w:firstRow="0" w:lastRow="0" w:firstColumn="0" w:lastColumn="0" w:oddVBand="0" w:evenVBand="0" w:oddHBand="0" w:evenHBand="0" w:firstRowFirstColumn="0" w:firstRowLastColumn="0" w:lastRowFirstColumn="0" w:lastRowLastColumn="0"/>
              <w:rPr>
                <w:lang w:val="el-GR"/>
              </w:rPr>
            </w:pPr>
            <w:r w:rsidRPr="00AB3A76">
              <w:rPr>
                <w:rFonts w:cs="Times New Roman"/>
                <w:sz w:val="24"/>
                <w:szCs w:val="24"/>
              </w:rPr>
              <w:t>NS</w:t>
            </w:r>
          </w:p>
        </w:tc>
      </w:tr>
      <w:tr w:rsidR="002C67F5" w:rsidRPr="00667533" w14:paraId="286FE014" w14:textId="77777777" w:rsidTr="001D70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5" w:type="dxa"/>
            <w:shd w:val="clear" w:color="auto" w:fill="auto"/>
            <w:vAlign w:val="center"/>
          </w:tcPr>
          <w:p w14:paraId="324093E1" w14:textId="77777777" w:rsidR="002C67F5" w:rsidRPr="00F25A0F" w:rsidRDefault="002C67F5" w:rsidP="00D21334">
            <w:pPr>
              <w:spacing w:line="360" w:lineRule="auto"/>
              <w:jc w:val="center"/>
              <w:rPr>
                <w:rFonts w:cs="Times New Roman"/>
                <w:sz w:val="24"/>
                <w:szCs w:val="24"/>
                <w:lang w:val="el-GR"/>
              </w:rPr>
            </w:pPr>
            <w:r w:rsidRPr="00F25A0F">
              <w:rPr>
                <w:rFonts w:cs="Times New Roman"/>
                <w:sz w:val="24"/>
                <w:szCs w:val="24"/>
                <w:lang w:val="el-GR"/>
              </w:rPr>
              <w:t>Ηλικιακή ομάδα 30-40 ετών</w:t>
            </w:r>
          </w:p>
        </w:tc>
        <w:tc>
          <w:tcPr>
            <w:tcW w:w="1967" w:type="dxa"/>
            <w:shd w:val="clear" w:color="auto" w:fill="auto"/>
            <w:vAlign w:val="center"/>
          </w:tcPr>
          <w:p w14:paraId="7275F640" w14:textId="77777777" w:rsidR="002C67F5" w:rsidRPr="00F25A0F" w:rsidRDefault="00F25A0F" w:rsidP="00D21334">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4"/>
                <w:szCs w:val="24"/>
                <w:lang w:val="el-GR"/>
              </w:rPr>
            </w:pPr>
            <w:r>
              <w:rPr>
                <w:rFonts w:cs="Times New Roman"/>
                <w:sz w:val="24"/>
                <w:szCs w:val="24"/>
                <w:lang w:val="el-GR"/>
              </w:rPr>
              <w:t>35.58</w:t>
            </w:r>
            <w:r w:rsidR="002C67F5" w:rsidRPr="00F25A0F">
              <w:rPr>
                <w:rFonts w:cs="Times New Roman"/>
                <w:sz w:val="24"/>
                <w:szCs w:val="24"/>
                <w:lang w:val="el-GR"/>
              </w:rPr>
              <w:t xml:space="preserve"> (</w:t>
            </w:r>
            <w:r w:rsidR="002C67F5">
              <w:rPr>
                <w:rFonts w:cs="Times New Roman"/>
                <w:sz w:val="24"/>
                <w:szCs w:val="24"/>
              </w:rPr>
              <w:sym w:font="Symbol" w:char="F0B1"/>
            </w:r>
            <w:r>
              <w:rPr>
                <w:rFonts w:cs="Times New Roman"/>
                <w:sz w:val="24"/>
                <w:szCs w:val="24"/>
                <w:lang w:val="el-GR"/>
              </w:rPr>
              <w:t>2.79</w:t>
            </w:r>
            <w:r w:rsidR="002C67F5" w:rsidRPr="00F25A0F">
              <w:rPr>
                <w:rFonts w:cs="Times New Roman"/>
                <w:sz w:val="24"/>
                <w:szCs w:val="24"/>
                <w:lang w:val="el-GR"/>
              </w:rPr>
              <w:t>)</w:t>
            </w:r>
          </w:p>
        </w:tc>
        <w:tc>
          <w:tcPr>
            <w:tcW w:w="2159" w:type="dxa"/>
            <w:shd w:val="clear" w:color="auto" w:fill="auto"/>
            <w:vAlign w:val="center"/>
          </w:tcPr>
          <w:p w14:paraId="3274FB73" w14:textId="77777777" w:rsidR="002C67F5" w:rsidRPr="00F25A0F" w:rsidRDefault="00F25A0F" w:rsidP="00D21334">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b/>
                <w:sz w:val="24"/>
                <w:szCs w:val="24"/>
                <w:lang w:val="el-GR"/>
              </w:rPr>
            </w:pPr>
            <w:r w:rsidRPr="00F25A0F">
              <w:rPr>
                <w:rFonts w:cs="Times New Roman"/>
                <w:b/>
                <w:sz w:val="24"/>
                <w:szCs w:val="24"/>
                <w:lang w:val="el-GR"/>
              </w:rPr>
              <w:t>60</w:t>
            </w:r>
          </w:p>
        </w:tc>
        <w:tc>
          <w:tcPr>
            <w:tcW w:w="1290" w:type="dxa"/>
            <w:gridSpan w:val="2"/>
            <w:shd w:val="clear" w:color="auto" w:fill="auto"/>
            <w:vAlign w:val="center"/>
          </w:tcPr>
          <w:p w14:paraId="4CDF2A8A" w14:textId="77777777" w:rsidR="002C67F5" w:rsidRPr="00F25A0F" w:rsidRDefault="002C67F5" w:rsidP="00D21334">
            <w:pPr>
              <w:spacing w:line="360" w:lineRule="auto"/>
              <w:jc w:val="center"/>
              <w:cnfStyle w:val="000000100000" w:firstRow="0" w:lastRow="0" w:firstColumn="0" w:lastColumn="0" w:oddVBand="0" w:evenVBand="0" w:oddHBand="1" w:evenHBand="0" w:firstRowFirstColumn="0" w:firstRowLastColumn="0" w:lastRowFirstColumn="0" w:lastRowLastColumn="0"/>
              <w:rPr>
                <w:lang w:val="el-GR"/>
              </w:rPr>
            </w:pPr>
            <w:r w:rsidRPr="00AB3A76">
              <w:rPr>
                <w:rFonts w:cs="Times New Roman"/>
                <w:sz w:val="24"/>
                <w:szCs w:val="24"/>
              </w:rPr>
              <w:t>NS</w:t>
            </w:r>
          </w:p>
        </w:tc>
      </w:tr>
      <w:tr w:rsidR="00F25A0F" w:rsidRPr="00667533" w14:paraId="5341E5EC" w14:textId="77777777" w:rsidTr="001D70EF">
        <w:trPr>
          <w:jc w:val="center"/>
        </w:trPr>
        <w:tc>
          <w:tcPr>
            <w:cnfStyle w:val="001000000000" w:firstRow="0" w:lastRow="0" w:firstColumn="1" w:lastColumn="0" w:oddVBand="0" w:evenVBand="0" w:oddHBand="0" w:evenHBand="0" w:firstRowFirstColumn="0" w:firstRowLastColumn="0" w:lastRowFirstColumn="0" w:lastRowLastColumn="0"/>
            <w:tcW w:w="3105" w:type="dxa"/>
            <w:shd w:val="clear" w:color="auto" w:fill="auto"/>
            <w:vAlign w:val="center"/>
          </w:tcPr>
          <w:p w14:paraId="66F420FA" w14:textId="77777777" w:rsidR="00F25A0F" w:rsidRPr="00F25A0F" w:rsidRDefault="00F25A0F" w:rsidP="00D21334">
            <w:pPr>
              <w:spacing w:line="360" w:lineRule="auto"/>
              <w:jc w:val="center"/>
              <w:rPr>
                <w:rFonts w:cs="Times New Roman"/>
                <w:sz w:val="24"/>
                <w:szCs w:val="24"/>
                <w:lang w:val="el-GR"/>
              </w:rPr>
            </w:pPr>
            <w:r w:rsidRPr="00F25A0F">
              <w:rPr>
                <w:rFonts w:cs="Times New Roman"/>
                <w:sz w:val="24"/>
                <w:szCs w:val="24"/>
                <w:lang w:val="el-GR"/>
              </w:rPr>
              <w:t>Ηλικιακή ομάδα 40-50 ετών</w:t>
            </w:r>
          </w:p>
        </w:tc>
        <w:tc>
          <w:tcPr>
            <w:tcW w:w="1967" w:type="dxa"/>
            <w:shd w:val="clear" w:color="auto" w:fill="auto"/>
            <w:vAlign w:val="center"/>
          </w:tcPr>
          <w:p w14:paraId="3EA1FC20" w14:textId="77777777" w:rsidR="00F25A0F" w:rsidRPr="00F25A0F" w:rsidRDefault="00F25A0F" w:rsidP="00D21334">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4"/>
                <w:szCs w:val="24"/>
                <w:lang w:val="el-GR"/>
              </w:rPr>
            </w:pPr>
            <w:r>
              <w:rPr>
                <w:rFonts w:cs="Times New Roman"/>
                <w:sz w:val="24"/>
                <w:szCs w:val="24"/>
                <w:lang w:val="el-GR"/>
              </w:rPr>
              <w:t>44</w:t>
            </w:r>
            <w:r w:rsidRPr="00F25A0F">
              <w:rPr>
                <w:rFonts w:cs="Times New Roman"/>
                <w:sz w:val="24"/>
                <w:szCs w:val="24"/>
                <w:lang w:val="el-GR"/>
              </w:rPr>
              <w:t>.</w:t>
            </w:r>
            <w:r>
              <w:rPr>
                <w:rFonts w:cs="Times New Roman"/>
                <w:sz w:val="24"/>
                <w:szCs w:val="24"/>
                <w:lang w:val="el-GR"/>
              </w:rPr>
              <w:t>22</w:t>
            </w:r>
            <w:r w:rsidRPr="00F25A0F">
              <w:rPr>
                <w:rFonts w:cs="Times New Roman"/>
                <w:sz w:val="24"/>
                <w:szCs w:val="24"/>
                <w:lang w:val="el-GR"/>
              </w:rPr>
              <w:t xml:space="preserve"> (</w:t>
            </w:r>
            <w:r>
              <w:rPr>
                <w:rFonts w:cs="Times New Roman"/>
                <w:sz w:val="24"/>
                <w:szCs w:val="24"/>
              </w:rPr>
              <w:sym w:font="Symbol" w:char="F0B1"/>
            </w:r>
            <w:r>
              <w:rPr>
                <w:rFonts w:cs="Times New Roman"/>
                <w:sz w:val="24"/>
                <w:szCs w:val="24"/>
                <w:lang w:val="el-GR"/>
              </w:rPr>
              <w:t>3.13</w:t>
            </w:r>
            <w:r w:rsidRPr="00F25A0F">
              <w:rPr>
                <w:rFonts w:cs="Times New Roman"/>
                <w:sz w:val="24"/>
                <w:szCs w:val="24"/>
                <w:lang w:val="el-GR"/>
              </w:rPr>
              <w:t>)</w:t>
            </w:r>
          </w:p>
        </w:tc>
        <w:tc>
          <w:tcPr>
            <w:tcW w:w="2159" w:type="dxa"/>
            <w:shd w:val="clear" w:color="auto" w:fill="auto"/>
            <w:vAlign w:val="center"/>
          </w:tcPr>
          <w:p w14:paraId="67522147" w14:textId="77777777" w:rsidR="00F25A0F" w:rsidRPr="00F25A0F" w:rsidRDefault="00F25A0F" w:rsidP="00D21334">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b/>
                <w:sz w:val="24"/>
                <w:szCs w:val="24"/>
                <w:lang w:val="el-GR"/>
              </w:rPr>
            </w:pPr>
            <w:r w:rsidRPr="00F25A0F">
              <w:rPr>
                <w:rFonts w:cs="Times New Roman"/>
                <w:b/>
                <w:sz w:val="24"/>
                <w:szCs w:val="24"/>
                <w:lang w:val="el-GR"/>
              </w:rPr>
              <w:t>60</w:t>
            </w:r>
          </w:p>
        </w:tc>
        <w:tc>
          <w:tcPr>
            <w:tcW w:w="1290" w:type="dxa"/>
            <w:gridSpan w:val="2"/>
            <w:shd w:val="clear" w:color="auto" w:fill="auto"/>
            <w:vAlign w:val="center"/>
          </w:tcPr>
          <w:p w14:paraId="54D38FD6" w14:textId="77777777" w:rsidR="00F25A0F" w:rsidRPr="00F25A0F" w:rsidRDefault="00F25A0F" w:rsidP="00D21334">
            <w:pPr>
              <w:spacing w:line="360" w:lineRule="auto"/>
              <w:jc w:val="center"/>
              <w:cnfStyle w:val="000000000000" w:firstRow="0" w:lastRow="0" w:firstColumn="0" w:lastColumn="0" w:oddVBand="0" w:evenVBand="0" w:oddHBand="0" w:evenHBand="0" w:firstRowFirstColumn="0" w:firstRowLastColumn="0" w:lastRowFirstColumn="0" w:lastRowLastColumn="0"/>
              <w:rPr>
                <w:lang w:val="el-GR"/>
              </w:rPr>
            </w:pPr>
            <w:r w:rsidRPr="00AB3A76">
              <w:rPr>
                <w:rFonts w:cs="Times New Roman"/>
                <w:sz w:val="24"/>
                <w:szCs w:val="24"/>
              </w:rPr>
              <w:t>NS</w:t>
            </w:r>
          </w:p>
        </w:tc>
      </w:tr>
      <w:tr w:rsidR="00F25A0F" w:rsidRPr="00667533" w14:paraId="26380DC7" w14:textId="77777777" w:rsidTr="001D70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5" w:type="dxa"/>
            <w:shd w:val="clear" w:color="auto" w:fill="auto"/>
            <w:vAlign w:val="center"/>
          </w:tcPr>
          <w:p w14:paraId="221E7F21" w14:textId="77777777" w:rsidR="00F25A0F" w:rsidRPr="00F25A0F" w:rsidRDefault="00F25A0F" w:rsidP="00D21334">
            <w:pPr>
              <w:spacing w:line="360" w:lineRule="auto"/>
              <w:jc w:val="center"/>
              <w:rPr>
                <w:rFonts w:cs="Times New Roman"/>
                <w:sz w:val="24"/>
                <w:szCs w:val="24"/>
                <w:lang w:val="el-GR"/>
              </w:rPr>
            </w:pPr>
            <w:r w:rsidRPr="00F25A0F">
              <w:rPr>
                <w:rFonts w:cs="Times New Roman"/>
                <w:sz w:val="24"/>
                <w:szCs w:val="24"/>
                <w:lang w:val="el-GR"/>
              </w:rPr>
              <w:t>Ηλικιακή ομάδα 50-60 ετών</w:t>
            </w:r>
          </w:p>
        </w:tc>
        <w:tc>
          <w:tcPr>
            <w:tcW w:w="1967" w:type="dxa"/>
            <w:shd w:val="clear" w:color="auto" w:fill="auto"/>
            <w:vAlign w:val="center"/>
          </w:tcPr>
          <w:p w14:paraId="06FFDA27" w14:textId="77777777" w:rsidR="00F25A0F" w:rsidRPr="00023EC0" w:rsidRDefault="00F25A0F" w:rsidP="00D21334">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Pr>
                <w:rFonts w:cs="Times New Roman"/>
                <w:sz w:val="24"/>
                <w:szCs w:val="24"/>
              </w:rPr>
              <w:t>53.85</w:t>
            </w:r>
            <w:r w:rsidRPr="00023EC0">
              <w:rPr>
                <w:rFonts w:cs="Times New Roman"/>
                <w:sz w:val="24"/>
                <w:szCs w:val="24"/>
              </w:rPr>
              <w:t xml:space="preserve"> (</w:t>
            </w:r>
            <w:r>
              <w:rPr>
                <w:rFonts w:cs="Times New Roman"/>
                <w:sz w:val="24"/>
                <w:szCs w:val="24"/>
              </w:rPr>
              <w:sym w:font="Symbol" w:char="F0B1"/>
            </w:r>
            <w:r>
              <w:rPr>
                <w:rFonts w:cs="Times New Roman"/>
                <w:sz w:val="24"/>
                <w:szCs w:val="24"/>
              </w:rPr>
              <w:t>2.94</w:t>
            </w:r>
            <w:r w:rsidRPr="00023EC0">
              <w:rPr>
                <w:rFonts w:cs="Times New Roman"/>
                <w:sz w:val="24"/>
                <w:szCs w:val="24"/>
              </w:rPr>
              <w:t>)</w:t>
            </w:r>
          </w:p>
        </w:tc>
        <w:tc>
          <w:tcPr>
            <w:tcW w:w="2159" w:type="dxa"/>
            <w:shd w:val="clear" w:color="auto" w:fill="auto"/>
            <w:vAlign w:val="center"/>
          </w:tcPr>
          <w:p w14:paraId="2060B062" w14:textId="77777777" w:rsidR="00F25A0F" w:rsidRPr="00A20529" w:rsidRDefault="00F25A0F" w:rsidP="00D21334">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b/>
                <w:sz w:val="24"/>
                <w:szCs w:val="24"/>
              </w:rPr>
            </w:pPr>
            <w:r w:rsidRPr="00F25A0F">
              <w:rPr>
                <w:rFonts w:cs="Times New Roman"/>
                <w:b/>
                <w:sz w:val="24"/>
                <w:szCs w:val="24"/>
                <w:lang w:val="el-GR"/>
              </w:rPr>
              <w:t>60</w:t>
            </w:r>
          </w:p>
        </w:tc>
        <w:tc>
          <w:tcPr>
            <w:tcW w:w="1290" w:type="dxa"/>
            <w:gridSpan w:val="2"/>
            <w:shd w:val="clear" w:color="auto" w:fill="auto"/>
            <w:vAlign w:val="center"/>
          </w:tcPr>
          <w:p w14:paraId="385B6B81" w14:textId="77777777" w:rsidR="00F25A0F" w:rsidRPr="00023EC0" w:rsidRDefault="00F25A0F" w:rsidP="00D21334">
            <w:pPr>
              <w:spacing w:line="360" w:lineRule="auto"/>
              <w:jc w:val="center"/>
              <w:cnfStyle w:val="000000100000" w:firstRow="0" w:lastRow="0" w:firstColumn="0" w:lastColumn="0" w:oddVBand="0" w:evenVBand="0" w:oddHBand="1" w:evenHBand="0" w:firstRowFirstColumn="0" w:firstRowLastColumn="0" w:lastRowFirstColumn="0" w:lastRowLastColumn="0"/>
            </w:pPr>
            <w:r w:rsidRPr="00AB3A76">
              <w:rPr>
                <w:rFonts w:cs="Times New Roman"/>
                <w:sz w:val="24"/>
                <w:szCs w:val="24"/>
              </w:rPr>
              <w:t>NS</w:t>
            </w:r>
          </w:p>
        </w:tc>
      </w:tr>
      <w:tr w:rsidR="00F25A0F" w:rsidRPr="00667533" w14:paraId="360F178D" w14:textId="77777777" w:rsidTr="001D70EF">
        <w:trPr>
          <w:jc w:val="center"/>
        </w:trPr>
        <w:tc>
          <w:tcPr>
            <w:cnfStyle w:val="001000000000" w:firstRow="0" w:lastRow="0" w:firstColumn="1" w:lastColumn="0" w:oddVBand="0" w:evenVBand="0" w:oddHBand="0" w:evenHBand="0" w:firstRowFirstColumn="0" w:firstRowLastColumn="0" w:lastRowFirstColumn="0" w:lastRowLastColumn="0"/>
            <w:tcW w:w="3105" w:type="dxa"/>
            <w:shd w:val="clear" w:color="auto" w:fill="auto"/>
            <w:vAlign w:val="center"/>
          </w:tcPr>
          <w:p w14:paraId="4F7563EF" w14:textId="77777777" w:rsidR="00F25A0F" w:rsidRPr="00EC5A10" w:rsidRDefault="00F25A0F" w:rsidP="00D21334">
            <w:pPr>
              <w:spacing w:line="360" w:lineRule="auto"/>
              <w:jc w:val="center"/>
              <w:rPr>
                <w:rFonts w:cs="Times New Roman"/>
                <w:sz w:val="24"/>
                <w:szCs w:val="24"/>
              </w:rPr>
            </w:pPr>
            <w:proofErr w:type="spellStart"/>
            <w:r>
              <w:rPr>
                <w:rFonts w:cs="Times New Roman"/>
                <w:sz w:val="24"/>
                <w:szCs w:val="24"/>
              </w:rPr>
              <w:t>Ηλικι</w:t>
            </w:r>
            <w:proofErr w:type="spellEnd"/>
            <w:r>
              <w:rPr>
                <w:rFonts w:cs="Times New Roman"/>
                <w:sz w:val="24"/>
                <w:szCs w:val="24"/>
              </w:rPr>
              <w:t xml:space="preserve">ακή </w:t>
            </w:r>
            <w:proofErr w:type="spellStart"/>
            <w:r>
              <w:rPr>
                <w:rFonts w:cs="Times New Roman"/>
                <w:sz w:val="24"/>
                <w:szCs w:val="24"/>
              </w:rPr>
              <w:t>ομάδ</w:t>
            </w:r>
            <w:proofErr w:type="spellEnd"/>
            <w:r>
              <w:rPr>
                <w:rFonts w:cs="Times New Roman"/>
                <w:sz w:val="24"/>
                <w:szCs w:val="24"/>
              </w:rPr>
              <w:t xml:space="preserve">α 60-70 </w:t>
            </w:r>
            <w:proofErr w:type="spellStart"/>
            <w:r>
              <w:rPr>
                <w:rFonts w:cs="Times New Roman"/>
                <w:sz w:val="24"/>
                <w:szCs w:val="24"/>
              </w:rPr>
              <w:t>ετών</w:t>
            </w:r>
            <w:proofErr w:type="spellEnd"/>
          </w:p>
        </w:tc>
        <w:tc>
          <w:tcPr>
            <w:tcW w:w="1967" w:type="dxa"/>
            <w:shd w:val="clear" w:color="auto" w:fill="auto"/>
            <w:vAlign w:val="center"/>
          </w:tcPr>
          <w:p w14:paraId="65879D17" w14:textId="77777777" w:rsidR="00F25A0F" w:rsidRPr="00023EC0" w:rsidRDefault="00F25A0F" w:rsidP="00D21334">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r>
              <w:rPr>
                <w:rFonts w:cs="Times New Roman"/>
                <w:sz w:val="24"/>
                <w:szCs w:val="24"/>
              </w:rPr>
              <w:t>64</w:t>
            </w:r>
            <w:r w:rsidRPr="00DD6578">
              <w:rPr>
                <w:rFonts w:cs="Times New Roman"/>
                <w:sz w:val="24"/>
                <w:szCs w:val="24"/>
              </w:rPr>
              <w:t>.</w:t>
            </w:r>
            <w:r>
              <w:rPr>
                <w:rFonts w:cs="Times New Roman"/>
                <w:sz w:val="24"/>
                <w:szCs w:val="24"/>
              </w:rPr>
              <w:t>11</w:t>
            </w:r>
            <w:r w:rsidRPr="00023EC0">
              <w:rPr>
                <w:rFonts w:cs="Times New Roman"/>
                <w:sz w:val="24"/>
                <w:szCs w:val="24"/>
              </w:rPr>
              <w:t xml:space="preserve"> (</w:t>
            </w:r>
            <w:r>
              <w:rPr>
                <w:rFonts w:cs="Times New Roman"/>
                <w:sz w:val="24"/>
                <w:szCs w:val="24"/>
              </w:rPr>
              <w:sym w:font="Symbol" w:char="F0B1"/>
            </w:r>
            <w:r>
              <w:rPr>
                <w:rFonts w:cs="Times New Roman"/>
                <w:sz w:val="24"/>
                <w:szCs w:val="24"/>
              </w:rPr>
              <w:t>2.99</w:t>
            </w:r>
            <w:r w:rsidRPr="00023EC0">
              <w:rPr>
                <w:rFonts w:cs="Times New Roman"/>
                <w:sz w:val="24"/>
                <w:szCs w:val="24"/>
              </w:rPr>
              <w:t>)</w:t>
            </w:r>
          </w:p>
        </w:tc>
        <w:tc>
          <w:tcPr>
            <w:tcW w:w="2159" w:type="dxa"/>
            <w:shd w:val="clear" w:color="auto" w:fill="auto"/>
            <w:vAlign w:val="center"/>
          </w:tcPr>
          <w:p w14:paraId="1EA27052" w14:textId="77777777" w:rsidR="00F25A0F" w:rsidRPr="00A20529" w:rsidRDefault="00F25A0F" w:rsidP="00D21334">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b/>
                <w:sz w:val="24"/>
                <w:szCs w:val="24"/>
              </w:rPr>
            </w:pPr>
            <w:r w:rsidRPr="00F25A0F">
              <w:rPr>
                <w:rFonts w:cs="Times New Roman"/>
                <w:b/>
                <w:sz w:val="24"/>
                <w:szCs w:val="24"/>
                <w:lang w:val="el-GR"/>
              </w:rPr>
              <w:t>60</w:t>
            </w:r>
          </w:p>
        </w:tc>
        <w:tc>
          <w:tcPr>
            <w:tcW w:w="1290" w:type="dxa"/>
            <w:gridSpan w:val="2"/>
            <w:shd w:val="clear" w:color="auto" w:fill="auto"/>
            <w:vAlign w:val="center"/>
          </w:tcPr>
          <w:p w14:paraId="58BBC205" w14:textId="77777777" w:rsidR="00F25A0F" w:rsidRPr="00023EC0" w:rsidRDefault="00F25A0F" w:rsidP="00D21334">
            <w:pPr>
              <w:spacing w:line="360" w:lineRule="auto"/>
              <w:jc w:val="center"/>
              <w:cnfStyle w:val="000000000000" w:firstRow="0" w:lastRow="0" w:firstColumn="0" w:lastColumn="0" w:oddVBand="0" w:evenVBand="0" w:oddHBand="0" w:evenHBand="0" w:firstRowFirstColumn="0" w:firstRowLastColumn="0" w:lastRowFirstColumn="0" w:lastRowLastColumn="0"/>
            </w:pPr>
            <w:r w:rsidRPr="00AB3A76">
              <w:rPr>
                <w:rFonts w:cs="Times New Roman"/>
                <w:sz w:val="24"/>
                <w:szCs w:val="24"/>
              </w:rPr>
              <w:t>NS</w:t>
            </w:r>
          </w:p>
        </w:tc>
      </w:tr>
      <w:tr w:rsidR="00F25A0F" w:rsidRPr="00667533" w14:paraId="22FC8890" w14:textId="77777777" w:rsidTr="001D70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5" w:type="dxa"/>
            <w:shd w:val="clear" w:color="auto" w:fill="auto"/>
            <w:vAlign w:val="center"/>
          </w:tcPr>
          <w:p w14:paraId="7C075EFA" w14:textId="77777777" w:rsidR="00F25A0F" w:rsidRPr="00EC5A10" w:rsidRDefault="00F25A0F" w:rsidP="00D21334">
            <w:pPr>
              <w:spacing w:line="360" w:lineRule="auto"/>
              <w:jc w:val="center"/>
              <w:rPr>
                <w:rFonts w:cs="Times New Roman"/>
                <w:sz w:val="24"/>
                <w:szCs w:val="24"/>
              </w:rPr>
            </w:pPr>
            <w:proofErr w:type="spellStart"/>
            <w:r>
              <w:rPr>
                <w:rFonts w:cs="Times New Roman"/>
                <w:sz w:val="24"/>
                <w:szCs w:val="24"/>
              </w:rPr>
              <w:t>Ηλικι</w:t>
            </w:r>
            <w:proofErr w:type="spellEnd"/>
            <w:r>
              <w:rPr>
                <w:rFonts w:cs="Times New Roman"/>
                <w:sz w:val="24"/>
                <w:szCs w:val="24"/>
              </w:rPr>
              <w:t xml:space="preserve">ακή </w:t>
            </w:r>
            <w:proofErr w:type="spellStart"/>
            <w:r>
              <w:rPr>
                <w:rFonts w:cs="Times New Roman"/>
                <w:sz w:val="24"/>
                <w:szCs w:val="24"/>
              </w:rPr>
              <w:t>ομάδ</w:t>
            </w:r>
            <w:proofErr w:type="spellEnd"/>
            <w:r>
              <w:rPr>
                <w:rFonts w:cs="Times New Roman"/>
                <w:sz w:val="24"/>
                <w:szCs w:val="24"/>
              </w:rPr>
              <w:t xml:space="preserve">α 70+ </w:t>
            </w:r>
            <w:proofErr w:type="spellStart"/>
            <w:r>
              <w:rPr>
                <w:rFonts w:cs="Times New Roman"/>
                <w:sz w:val="24"/>
                <w:szCs w:val="24"/>
              </w:rPr>
              <w:t>ετών</w:t>
            </w:r>
            <w:proofErr w:type="spellEnd"/>
          </w:p>
        </w:tc>
        <w:tc>
          <w:tcPr>
            <w:tcW w:w="1967" w:type="dxa"/>
            <w:shd w:val="clear" w:color="auto" w:fill="auto"/>
            <w:vAlign w:val="center"/>
          </w:tcPr>
          <w:p w14:paraId="41D38618" w14:textId="77777777" w:rsidR="00F25A0F" w:rsidRPr="00DD6578" w:rsidRDefault="00F25A0F" w:rsidP="00D21334">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Pr>
                <w:rFonts w:cs="Times New Roman"/>
                <w:sz w:val="24"/>
                <w:szCs w:val="24"/>
              </w:rPr>
              <w:t>77.76</w:t>
            </w:r>
            <w:r w:rsidRPr="00023EC0">
              <w:rPr>
                <w:rFonts w:cs="Times New Roman"/>
                <w:sz w:val="24"/>
                <w:szCs w:val="24"/>
              </w:rPr>
              <w:t xml:space="preserve"> (</w:t>
            </w:r>
            <w:r>
              <w:rPr>
                <w:rFonts w:cs="Times New Roman"/>
                <w:sz w:val="24"/>
                <w:szCs w:val="24"/>
              </w:rPr>
              <w:sym w:font="Symbol" w:char="F0B1"/>
            </w:r>
            <w:r>
              <w:rPr>
                <w:rFonts w:cs="Times New Roman"/>
                <w:sz w:val="24"/>
                <w:szCs w:val="24"/>
              </w:rPr>
              <w:t>5.79</w:t>
            </w:r>
            <w:r w:rsidRPr="00DD6578">
              <w:rPr>
                <w:rFonts w:cs="Times New Roman"/>
                <w:sz w:val="24"/>
                <w:szCs w:val="24"/>
              </w:rPr>
              <w:t>)</w:t>
            </w:r>
          </w:p>
        </w:tc>
        <w:tc>
          <w:tcPr>
            <w:tcW w:w="2159" w:type="dxa"/>
            <w:shd w:val="clear" w:color="auto" w:fill="auto"/>
            <w:vAlign w:val="center"/>
          </w:tcPr>
          <w:p w14:paraId="6ACC287F" w14:textId="77777777" w:rsidR="00F25A0F" w:rsidRPr="00A20529" w:rsidRDefault="00F25A0F" w:rsidP="00D21334">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b/>
                <w:sz w:val="24"/>
                <w:szCs w:val="24"/>
              </w:rPr>
            </w:pPr>
            <w:r w:rsidRPr="00F25A0F">
              <w:rPr>
                <w:rFonts w:cs="Times New Roman"/>
                <w:b/>
                <w:sz w:val="24"/>
                <w:szCs w:val="24"/>
                <w:lang w:val="el-GR"/>
              </w:rPr>
              <w:t>60</w:t>
            </w:r>
          </w:p>
        </w:tc>
        <w:tc>
          <w:tcPr>
            <w:tcW w:w="1290" w:type="dxa"/>
            <w:gridSpan w:val="2"/>
            <w:shd w:val="clear" w:color="auto" w:fill="auto"/>
            <w:vAlign w:val="center"/>
          </w:tcPr>
          <w:p w14:paraId="353A91EA" w14:textId="77777777" w:rsidR="00F25A0F" w:rsidRPr="00DD6578" w:rsidRDefault="00F25A0F" w:rsidP="00D21334">
            <w:pPr>
              <w:spacing w:line="360" w:lineRule="auto"/>
              <w:jc w:val="center"/>
              <w:cnfStyle w:val="000000100000" w:firstRow="0" w:lastRow="0" w:firstColumn="0" w:lastColumn="0" w:oddVBand="0" w:evenVBand="0" w:oddHBand="1" w:evenHBand="0" w:firstRowFirstColumn="0" w:firstRowLastColumn="0" w:lastRowFirstColumn="0" w:lastRowLastColumn="0"/>
            </w:pPr>
            <w:r w:rsidRPr="00AB3A76">
              <w:rPr>
                <w:rFonts w:cs="Times New Roman"/>
                <w:sz w:val="24"/>
                <w:szCs w:val="24"/>
              </w:rPr>
              <w:t>NS</w:t>
            </w:r>
          </w:p>
        </w:tc>
      </w:tr>
      <w:tr w:rsidR="002C67F5" w:rsidRPr="00667533" w14:paraId="0D120CEE" w14:textId="77777777" w:rsidTr="008A6984">
        <w:trPr>
          <w:trHeight w:val="377"/>
          <w:jc w:val="center"/>
        </w:trPr>
        <w:tc>
          <w:tcPr>
            <w:cnfStyle w:val="001000000000" w:firstRow="0" w:lastRow="0" w:firstColumn="1" w:lastColumn="0" w:oddVBand="0" w:evenVBand="0" w:oddHBand="0" w:evenHBand="0" w:firstRowFirstColumn="0" w:firstRowLastColumn="0" w:lastRowFirstColumn="0" w:lastRowLastColumn="0"/>
            <w:tcW w:w="3105" w:type="dxa"/>
            <w:shd w:val="clear" w:color="auto" w:fill="auto"/>
            <w:vAlign w:val="center"/>
          </w:tcPr>
          <w:p w14:paraId="4D0FCBE3" w14:textId="77777777" w:rsidR="002C67F5" w:rsidRPr="00023EC0" w:rsidRDefault="002C67F5" w:rsidP="00D21334">
            <w:pPr>
              <w:spacing w:line="360" w:lineRule="auto"/>
              <w:jc w:val="center"/>
              <w:rPr>
                <w:rFonts w:cs="Times New Roman"/>
                <w:sz w:val="24"/>
                <w:szCs w:val="24"/>
              </w:rPr>
            </w:pPr>
            <w:proofErr w:type="spellStart"/>
            <w:r>
              <w:rPr>
                <w:rFonts w:cs="Times New Roman"/>
                <w:sz w:val="24"/>
                <w:szCs w:val="24"/>
              </w:rPr>
              <w:t>Σύνολο</w:t>
            </w:r>
            <w:proofErr w:type="spellEnd"/>
            <w:r>
              <w:rPr>
                <w:rFonts w:cs="Times New Roman"/>
                <w:sz w:val="24"/>
                <w:szCs w:val="24"/>
              </w:rPr>
              <w:t xml:space="preserve"> </w:t>
            </w:r>
            <w:proofErr w:type="spellStart"/>
            <w:r>
              <w:rPr>
                <w:rFonts w:cs="Times New Roman"/>
                <w:sz w:val="24"/>
                <w:szCs w:val="24"/>
              </w:rPr>
              <w:t>Δείγμ</w:t>
            </w:r>
            <w:proofErr w:type="spellEnd"/>
            <w:r>
              <w:rPr>
                <w:rFonts w:cs="Times New Roman"/>
                <w:sz w:val="24"/>
                <w:szCs w:val="24"/>
              </w:rPr>
              <w:t>ατος</w:t>
            </w:r>
          </w:p>
        </w:tc>
        <w:tc>
          <w:tcPr>
            <w:tcW w:w="1967" w:type="dxa"/>
            <w:shd w:val="clear" w:color="auto" w:fill="auto"/>
            <w:vAlign w:val="center"/>
          </w:tcPr>
          <w:p w14:paraId="720D998E" w14:textId="77777777" w:rsidR="002C67F5" w:rsidRPr="002E3503" w:rsidRDefault="002E3503" w:rsidP="00D21334">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4"/>
                <w:szCs w:val="24"/>
                <w:lang w:val="el-GR"/>
              </w:rPr>
            </w:pPr>
            <w:r w:rsidRPr="002E3503">
              <w:rPr>
                <w:rFonts w:cs="Times New Roman"/>
                <w:sz w:val="24"/>
                <w:szCs w:val="24"/>
                <w:lang w:val="el-GR"/>
              </w:rPr>
              <w:t>49.</w:t>
            </w:r>
            <w:r>
              <w:rPr>
                <w:rFonts w:cs="Times New Roman"/>
                <w:sz w:val="24"/>
                <w:szCs w:val="24"/>
                <w:lang w:val="el-GR"/>
              </w:rPr>
              <w:t>34</w:t>
            </w:r>
            <w:r w:rsidR="002C67F5" w:rsidRPr="002E3503">
              <w:rPr>
                <w:rFonts w:cs="Times New Roman"/>
                <w:sz w:val="24"/>
                <w:szCs w:val="24"/>
                <w:lang w:val="el-GR"/>
              </w:rPr>
              <w:t xml:space="preserve"> (</w:t>
            </w:r>
            <w:r w:rsidR="002C67F5">
              <w:rPr>
                <w:rFonts w:cs="Times New Roman"/>
                <w:sz w:val="24"/>
                <w:szCs w:val="24"/>
              </w:rPr>
              <w:sym w:font="Symbol" w:char="F0B1"/>
            </w:r>
            <w:r>
              <w:rPr>
                <w:rFonts w:cs="Times New Roman"/>
                <w:sz w:val="24"/>
                <w:szCs w:val="24"/>
                <w:lang w:val="el-GR"/>
              </w:rPr>
              <w:t>18.80</w:t>
            </w:r>
            <w:r w:rsidR="002C67F5" w:rsidRPr="002E3503">
              <w:rPr>
                <w:rFonts w:cs="Times New Roman"/>
                <w:sz w:val="24"/>
                <w:szCs w:val="24"/>
                <w:lang w:val="el-GR"/>
              </w:rPr>
              <w:t>)</w:t>
            </w:r>
          </w:p>
        </w:tc>
        <w:tc>
          <w:tcPr>
            <w:tcW w:w="2159" w:type="dxa"/>
            <w:shd w:val="clear" w:color="auto" w:fill="auto"/>
            <w:vAlign w:val="center"/>
          </w:tcPr>
          <w:p w14:paraId="0EC8D17A" w14:textId="77777777" w:rsidR="002C67F5" w:rsidRPr="002E3503" w:rsidRDefault="00A20529" w:rsidP="00D21334">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b/>
                <w:sz w:val="24"/>
                <w:szCs w:val="24"/>
                <w:lang w:val="el-GR"/>
              </w:rPr>
            </w:pPr>
            <w:r w:rsidRPr="002E3503">
              <w:rPr>
                <w:rFonts w:cs="Times New Roman"/>
                <w:b/>
                <w:sz w:val="24"/>
                <w:szCs w:val="24"/>
                <w:lang w:val="el-GR"/>
              </w:rPr>
              <w:t>360</w:t>
            </w:r>
          </w:p>
          <w:p w14:paraId="4918F695" w14:textId="77777777" w:rsidR="002C67F5" w:rsidRPr="002E3503" w:rsidRDefault="00A20529" w:rsidP="00D21334">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4"/>
                <w:szCs w:val="24"/>
                <w:lang w:val="el-GR"/>
              </w:rPr>
            </w:pPr>
            <w:r w:rsidRPr="002E3503">
              <w:rPr>
                <w:rFonts w:cs="Times New Roman"/>
                <w:sz w:val="24"/>
                <w:szCs w:val="24"/>
                <w:lang w:val="el-GR"/>
              </w:rPr>
              <w:t>180/180</w:t>
            </w:r>
          </w:p>
        </w:tc>
        <w:tc>
          <w:tcPr>
            <w:tcW w:w="1290" w:type="dxa"/>
            <w:gridSpan w:val="2"/>
            <w:shd w:val="clear" w:color="auto" w:fill="auto"/>
            <w:vAlign w:val="center"/>
          </w:tcPr>
          <w:p w14:paraId="5DB893FC" w14:textId="77777777" w:rsidR="002C67F5" w:rsidRPr="002E3503" w:rsidRDefault="002C67F5" w:rsidP="00D21334">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4"/>
                <w:szCs w:val="24"/>
                <w:lang w:val="el-GR"/>
              </w:rPr>
            </w:pPr>
            <w:r>
              <w:rPr>
                <w:rFonts w:cs="Times New Roman"/>
                <w:sz w:val="24"/>
                <w:szCs w:val="24"/>
              </w:rPr>
              <w:t>NS</w:t>
            </w:r>
          </w:p>
        </w:tc>
      </w:tr>
      <w:tr w:rsidR="002C67F5" w:rsidRPr="00950F26" w14:paraId="366F3D24" w14:textId="77777777" w:rsidTr="001D70EF">
        <w:trPr>
          <w:gridAfter w:val="1"/>
          <w:cnfStyle w:val="000000100000" w:firstRow="0" w:lastRow="0" w:firstColumn="0" w:lastColumn="0" w:oddVBand="0" w:evenVBand="0" w:oddHBand="1" w:evenHBand="0" w:firstRowFirstColumn="0" w:firstRowLastColumn="0" w:lastRowFirstColumn="0" w:lastRowLastColumn="0"/>
          <w:wAfter w:w="52" w:type="dxa"/>
          <w:trHeight w:val="75"/>
          <w:jc w:val="center"/>
        </w:trPr>
        <w:tc>
          <w:tcPr>
            <w:cnfStyle w:val="001000000000" w:firstRow="0" w:lastRow="0" w:firstColumn="1" w:lastColumn="0" w:oddVBand="0" w:evenVBand="0" w:oddHBand="0" w:evenHBand="0" w:firstRowFirstColumn="0" w:firstRowLastColumn="0" w:lastRowFirstColumn="0" w:lastRowLastColumn="0"/>
            <w:tcW w:w="8469" w:type="dxa"/>
            <w:gridSpan w:val="4"/>
            <w:tcBorders>
              <w:top w:val="single" w:sz="4" w:space="0" w:color="auto"/>
            </w:tcBorders>
            <w:shd w:val="clear" w:color="auto" w:fill="auto"/>
          </w:tcPr>
          <w:p w14:paraId="0886CCE6" w14:textId="77777777" w:rsidR="002C67F5" w:rsidRPr="006A6326" w:rsidRDefault="002C67F5" w:rsidP="00D21334">
            <w:pPr>
              <w:spacing w:line="360" w:lineRule="auto"/>
              <w:jc w:val="both"/>
              <w:rPr>
                <w:rFonts w:cs="Times New Roman"/>
                <w:sz w:val="24"/>
                <w:szCs w:val="24"/>
                <w:lang w:val="el-GR"/>
              </w:rPr>
            </w:pPr>
            <w:r w:rsidRPr="006A6326">
              <w:rPr>
                <w:rFonts w:cs="Times New Roman"/>
                <w:sz w:val="24"/>
                <w:szCs w:val="24"/>
                <w:lang w:val="el-GR"/>
              </w:rPr>
              <w:t xml:space="preserve">Οι τιμές είναι σε μέσους όρους ± τυπικές αποκλίσεις/ </w:t>
            </w:r>
            <w:r>
              <w:rPr>
                <w:rFonts w:cs="Times New Roman"/>
                <w:sz w:val="24"/>
                <w:szCs w:val="24"/>
              </w:rPr>
              <w:t>p</w:t>
            </w:r>
            <w:r w:rsidRPr="006A6326">
              <w:rPr>
                <w:rFonts w:cs="Times New Roman"/>
                <w:sz w:val="24"/>
                <w:szCs w:val="24"/>
                <w:lang w:val="el-GR"/>
              </w:rPr>
              <w:t>-</w:t>
            </w:r>
            <w:r>
              <w:rPr>
                <w:rFonts w:cs="Times New Roman"/>
                <w:sz w:val="24"/>
                <w:szCs w:val="24"/>
              </w:rPr>
              <w:t>level</w:t>
            </w:r>
            <w:r w:rsidRPr="006A6326">
              <w:rPr>
                <w:rFonts w:cs="Times New Roman"/>
                <w:sz w:val="24"/>
                <w:szCs w:val="24"/>
                <w:lang w:val="el-GR"/>
              </w:rPr>
              <w:t>&lt; .05</w:t>
            </w:r>
          </w:p>
        </w:tc>
      </w:tr>
    </w:tbl>
    <w:p w14:paraId="648960A6" w14:textId="77777777" w:rsidR="002C67F5" w:rsidRPr="00BF0161" w:rsidRDefault="002C67F5" w:rsidP="00D21334">
      <w:pPr>
        <w:spacing w:line="360" w:lineRule="auto"/>
        <w:jc w:val="both"/>
        <w:rPr>
          <w:sz w:val="12"/>
          <w:szCs w:val="12"/>
          <w:lang w:val="el-GR"/>
        </w:rPr>
      </w:pPr>
    </w:p>
    <w:p w14:paraId="054DA097" w14:textId="77777777" w:rsidR="002C67F5" w:rsidRPr="00BF0161" w:rsidRDefault="002C67F5" w:rsidP="00403EE9">
      <w:pPr>
        <w:spacing w:after="120" w:line="360" w:lineRule="auto"/>
        <w:jc w:val="both"/>
        <w:rPr>
          <w:lang w:val="el-GR"/>
        </w:rPr>
      </w:pPr>
      <w:r w:rsidRPr="00BF0161">
        <w:rPr>
          <w:lang w:val="el-GR"/>
        </w:rPr>
        <w:t xml:space="preserve">Το σύνολο του δείγματος είχε μέσο όρο ηλικίας τα </w:t>
      </w:r>
      <w:r w:rsidR="002E3503" w:rsidRPr="00BF0161">
        <w:rPr>
          <w:lang w:val="el-GR"/>
        </w:rPr>
        <w:t>49.34</w:t>
      </w:r>
      <w:r w:rsidRPr="00BF0161">
        <w:rPr>
          <w:lang w:val="el-GR"/>
        </w:rPr>
        <w:t xml:space="preserve"> έτη με τυπική απόκλιση τα </w:t>
      </w:r>
      <w:r w:rsidR="002E3503" w:rsidRPr="00BF0161">
        <w:rPr>
          <w:lang w:val="el-GR"/>
        </w:rPr>
        <w:t>18.80</w:t>
      </w:r>
      <w:r w:rsidRPr="00BF0161">
        <w:rPr>
          <w:lang w:val="el-GR"/>
        </w:rPr>
        <w:t xml:space="preserve"> έτη</w:t>
      </w:r>
      <w:r w:rsidR="002E3503" w:rsidRPr="00BF0161">
        <w:rPr>
          <w:lang w:val="el-GR"/>
        </w:rPr>
        <w:t xml:space="preserve"> και εύρος 18 έως 91 ετών</w:t>
      </w:r>
      <w:r w:rsidRPr="00BF0161">
        <w:rPr>
          <w:lang w:val="el-GR"/>
        </w:rPr>
        <w:t xml:space="preserve">. Η ηλικιακή υποομάδα 18 έως 30 ετών είχε μέσο όρο ηλικίας τα </w:t>
      </w:r>
      <w:r w:rsidR="002E3503" w:rsidRPr="00BF0161">
        <w:rPr>
          <w:lang w:val="el-GR"/>
        </w:rPr>
        <w:t>22.50</w:t>
      </w:r>
      <w:r w:rsidRPr="00BF0161">
        <w:rPr>
          <w:lang w:val="el-GR"/>
        </w:rPr>
        <w:t xml:space="preserve"> έτη με τυπική απόκλιση τα </w:t>
      </w:r>
      <w:r w:rsidR="002E3503" w:rsidRPr="00BF0161">
        <w:rPr>
          <w:lang w:val="el-GR"/>
        </w:rPr>
        <w:t>2.75</w:t>
      </w:r>
      <w:r w:rsidRPr="00BF0161">
        <w:rPr>
          <w:lang w:val="el-GR"/>
        </w:rPr>
        <w:t xml:space="preserve"> έτη. Η ηλικιακή υποομάδα 30 έως 40 ετών είχε μέσο όρο ηλικίας τα </w:t>
      </w:r>
      <w:r w:rsidR="002E3503" w:rsidRPr="00BF0161">
        <w:rPr>
          <w:lang w:val="el-GR"/>
        </w:rPr>
        <w:t>35.58</w:t>
      </w:r>
      <w:r w:rsidRPr="00BF0161">
        <w:rPr>
          <w:lang w:val="el-GR"/>
        </w:rPr>
        <w:t xml:space="preserve"> έτη με τυπική απόκλιση τα </w:t>
      </w:r>
      <w:r w:rsidR="002E3503" w:rsidRPr="00BF0161">
        <w:rPr>
          <w:lang w:val="el-GR"/>
        </w:rPr>
        <w:t>2.79</w:t>
      </w:r>
      <w:r w:rsidRPr="00BF0161">
        <w:rPr>
          <w:lang w:val="el-GR"/>
        </w:rPr>
        <w:t xml:space="preserve"> έτη. Η ηλικιακή υποομάδα 40 έως 50 ετών είχε μέσο όρο ηλικίας τα </w:t>
      </w:r>
      <w:r w:rsidR="002E3503" w:rsidRPr="00BF0161">
        <w:rPr>
          <w:lang w:val="el-GR"/>
        </w:rPr>
        <w:t>44.22</w:t>
      </w:r>
      <w:r w:rsidRPr="00BF0161">
        <w:rPr>
          <w:lang w:val="el-GR"/>
        </w:rPr>
        <w:t xml:space="preserve"> έτη με τυπική απόκλιση τα </w:t>
      </w:r>
      <w:r w:rsidR="002E3503" w:rsidRPr="00BF0161">
        <w:rPr>
          <w:lang w:val="el-GR"/>
        </w:rPr>
        <w:t>3.13</w:t>
      </w:r>
      <w:r w:rsidRPr="00BF0161">
        <w:rPr>
          <w:lang w:val="el-GR"/>
        </w:rPr>
        <w:t xml:space="preserve"> έτη. Η ηλικιακή υποομάδα 50 έως 60 ετών είχε μέσο όρο ηλικίας τα </w:t>
      </w:r>
      <w:r w:rsidR="002E3503" w:rsidRPr="00BF0161">
        <w:rPr>
          <w:lang w:val="el-GR"/>
        </w:rPr>
        <w:t>53.85</w:t>
      </w:r>
      <w:r w:rsidRPr="00BF0161">
        <w:rPr>
          <w:lang w:val="el-GR"/>
        </w:rPr>
        <w:t xml:space="preserve"> έτη με τυπική απόκλιση τα </w:t>
      </w:r>
      <w:r w:rsidR="002E3503" w:rsidRPr="00BF0161">
        <w:rPr>
          <w:lang w:val="el-GR"/>
        </w:rPr>
        <w:t>2.94</w:t>
      </w:r>
      <w:r w:rsidRPr="00BF0161">
        <w:rPr>
          <w:lang w:val="el-GR"/>
        </w:rPr>
        <w:t xml:space="preserve"> έτη. Η ηλικιακή υποομάδα 60 έως 70 ετών </w:t>
      </w:r>
      <w:r w:rsidRPr="00BF0161">
        <w:rPr>
          <w:lang w:val="el-GR"/>
        </w:rPr>
        <w:lastRenderedPageBreak/>
        <w:t xml:space="preserve">είχε μέσο όρο ηλικίας τα </w:t>
      </w:r>
      <w:r w:rsidR="002E3503" w:rsidRPr="00BF0161">
        <w:rPr>
          <w:lang w:val="el-GR"/>
        </w:rPr>
        <w:t xml:space="preserve">64.11 </w:t>
      </w:r>
      <w:r w:rsidRPr="00BF0161">
        <w:rPr>
          <w:lang w:val="el-GR"/>
        </w:rPr>
        <w:t xml:space="preserve">έτη με τυπική απόκλιση τα </w:t>
      </w:r>
      <w:r w:rsidR="002E3503" w:rsidRPr="00BF0161">
        <w:rPr>
          <w:lang w:val="el-GR"/>
        </w:rPr>
        <w:t>2.99</w:t>
      </w:r>
      <w:r w:rsidRPr="00BF0161">
        <w:rPr>
          <w:lang w:val="el-GR"/>
        </w:rPr>
        <w:t xml:space="preserve"> έτη. Η ηλικιακή υποομάδα 70+ ετών είχε μέσο όρο ηλικίας τα </w:t>
      </w:r>
      <w:r w:rsidR="002E3503" w:rsidRPr="00BF0161">
        <w:rPr>
          <w:lang w:val="el-GR"/>
        </w:rPr>
        <w:t>77.76</w:t>
      </w:r>
      <w:r w:rsidRPr="00BF0161">
        <w:rPr>
          <w:lang w:val="el-GR"/>
        </w:rPr>
        <w:t xml:space="preserve"> έτη με τυπική απόκλιση τα </w:t>
      </w:r>
      <w:r w:rsidR="002E3503" w:rsidRPr="00BF0161">
        <w:rPr>
          <w:lang w:val="el-GR"/>
        </w:rPr>
        <w:t>5.79</w:t>
      </w:r>
      <w:r w:rsidRPr="00BF0161">
        <w:rPr>
          <w:lang w:val="el-GR"/>
        </w:rPr>
        <w:t xml:space="preserve"> έτη.</w:t>
      </w:r>
    </w:p>
    <w:p w14:paraId="0E1683FF" w14:textId="77777777" w:rsidR="002C67F5" w:rsidRPr="00BF0161" w:rsidRDefault="002C67F5" w:rsidP="00403EE9">
      <w:pPr>
        <w:autoSpaceDE w:val="0"/>
        <w:autoSpaceDN w:val="0"/>
        <w:adjustRightInd w:val="0"/>
        <w:spacing w:after="120" w:line="360" w:lineRule="auto"/>
        <w:jc w:val="both"/>
        <w:rPr>
          <w:rFonts w:eastAsia="Times New Roman"/>
          <w:lang w:val="el-GR"/>
        </w:rPr>
      </w:pPr>
      <w:r w:rsidRPr="00BF0161">
        <w:rPr>
          <w:rFonts w:eastAsia="Times New Roman"/>
          <w:lang w:val="el-GR"/>
        </w:rPr>
        <w:t xml:space="preserve">Στους πίνακες 3-2 έως 3-5 παρουσιάζονται οι συγκρίσεις των μέσων τιμών με βάση το φύλο, για το συνολικό σκορ του ερωτηματολογίου </w:t>
      </w:r>
      <w:r w:rsidR="003922C7" w:rsidRPr="00BF0161">
        <w:rPr>
          <w:rFonts w:eastAsia="Times New Roman"/>
          <w:lang w:val="el-GR"/>
        </w:rPr>
        <w:t>που χορηγήθηκε</w:t>
      </w:r>
      <w:r w:rsidRPr="00BF0161">
        <w:rPr>
          <w:rFonts w:eastAsia="Times New Roman"/>
          <w:lang w:val="el-GR"/>
        </w:rPr>
        <w:t xml:space="preserve">. Μετά από τον έλεγχο κανονικότητας ένα </w:t>
      </w:r>
      <w:r w:rsidRPr="00FD09E3">
        <w:rPr>
          <w:rFonts w:eastAsia="Times New Roman"/>
          <w:lang w:val="en-US"/>
        </w:rPr>
        <w:t>Mann</w:t>
      </w:r>
      <w:r w:rsidRPr="00BF0161">
        <w:rPr>
          <w:rFonts w:eastAsia="Times New Roman"/>
          <w:lang w:val="el-GR"/>
        </w:rPr>
        <w:t>-</w:t>
      </w:r>
      <w:r w:rsidRPr="00FD09E3">
        <w:rPr>
          <w:rFonts w:eastAsia="Times New Roman"/>
          <w:lang w:val="en-US"/>
        </w:rPr>
        <w:t>Whitney</w:t>
      </w:r>
      <w:r w:rsidRPr="00BF0161">
        <w:rPr>
          <w:rFonts w:eastAsia="Times New Roman"/>
          <w:lang w:val="el-GR"/>
        </w:rPr>
        <w:t xml:space="preserve"> </w:t>
      </w:r>
      <w:r w:rsidRPr="00FD09E3">
        <w:rPr>
          <w:rFonts w:eastAsia="Times New Roman"/>
          <w:lang w:val="en-US"/>
        </w:rPr>
        <w:t>test</w:t>
      </w:r>
      <w:r w:rsidRPr="00BF0161">
        <w:rPr>
          <w:rFonts w:eastAsia="Times New Roman"/>
          <w:lang w:val="el-GR"/>
        </w:rPr>
        <w:t xml:space="preserve"> πραγματοποιήθηκε για το συνολικό σκορ </w:t>
      </w:r>
      <w:r w:rsidR="003922C7" w:rsidRPr="00BF0161">
        <w:rPr>
          <w:rFonts w:eastAsia="Times New Roman"/>
          <w:lang w:val="el-GR"/>
        </w:rPr>
        <w:t xml:space="preserve">του </w:t>
      </w:r>
      <w:r w:rsidR="002E3503" w:rsidRPr="00BF0161">
        <w:rPr>
          <w:rFonts w:eastAsia="Times New Roman"/>
          <w:lang w:val="el-GR"/>
        </w:rPr>
        <w:t>ερωτηματολογίου</w:t>
      </w:r>
      <w:r w:rsidRPr="00BF0161">
        <w:rPr>
          <w:rFonts w:eastAsia="Times New Roman"/>
          <w:lang w:val="el-GR"/>
        </w:rPr>
        <w:t>.</w:t>
      </w:r>
    </w:p>
    <w:p w14:paraId="10D27786" w14:textId="77777777" w:rsidR="002C67F5" w:rsidRPr="00BF0161" w:rsidRDefault="002C67F5" w:rsidP="002C67F5">
      <w:pPr>
        <w:autoSpaceDE w:val="0"/>
        <w:autoSpaceDN w:val="0"/>
        <w:adjustRightInd w:val="0"/>
        <w:spacing w:line="360" w:lineRule="auto"/>
        <w:jc w:val="both"/>
        <w:rPr>
          <w:rFonts w:eastAsia="Calibri"/>
          <w:sz w:val="12"/>
          <w:szCs w:val="12"/>
          <w:lang w:val="el-GR"/>
        </w:rPr>
      </w:pPr>
    </w:p>
    <w:p w14:paraId="754017C2" w14:textId="77777777" w:rsidR="002C67F5" w:rsidRPr="00BF0161" w:rsidRDefault="002C67F5" w:rsidP="002C67F5">
      <w:pPr>
        <w:keepNext/>
        <w:spacing w:line="360" w:lineRule="auto"/>
        <w:jc w:val="both"/>
        <w:rPr>
          <w:rFonts w:eastAsia="Times New Roman"/>
          <w:b/>
          <w:bCs/>
          <w:lang w:val="el-GR"/>
        </w:rPr>
      </w:pPr>
      <w:r w:rsidRPr="00BF0161">
        <w:rPr>
          <w:rFonts w:eastAsia="Times New Roman"/>
          <w:b/>
          <w:bCs/>
          <w:lang w:val="el-GR"/>
        </w:rPr>
        <w:t xml:space="preserve">Πίνακας 3.2. Σύγκριση Μέσων μεταξύ Ανδρών και Γυναικών για το Συνολικό Σκορ του Ερωτηματολόγιου Αυτοαντίληψης της </w:t>
      </w:r>
      <w:r w:rsidR="003922C7" w:rsidRPr="00BF0161">
        <w:rPr>
          <w:rFonts w:eastAsia="Times New Roman"/>
          <w:b/>
          <w:bCs/>
          <w:lang w:val="el-GR"/>
        </w:rPr>
        <w:t>Κατάποσης</w:t>
      </w:r>
      <w:r w:rsidRPr="00BF0161">
        <w:rPr>
          <w:rFonts w:eastAsia="Times New Roman"/>
          <w:b/>
          <w:bCs/>
          <w:lang w:val="el-GR"/>
        </w:rPr>
        <w:t>.</w:t>
      </w:r>
    </w:p>
    <w:tbl>
      <w:tblPr>
        <w:tblW w:w="8514" w:type="dxa"/>
        <w:jc w:val="center"/>
        <w:tblCellMar>
          <w:top w:w="58" w:type="dxa"/>
          <w:left w:w="115" w:type="dxa"/>
          <w:bottom w:w="58" w:type="dxa"/>
          <w:right w:w="115" w:type="dxa"/>
        </w:tblCellMar>
        <w:tblLook w:val="01E0" w:firstRow="1" w:lastRow="1" w:firstColumn="1" w:lastColumn="1" w:noHBand="0" w:noVBand="0"/>
      </w:tblPr>
      <w:tblGrid>
        <w:gridCol w:w="1339"/>
        <w:gridCol w:w="1867"/>
        <w:gridCol w:w="2065"/>
        <w:gridCol w:w="2213"/>
        <w:gridCol w:w="1030"/>
      </w:tblGrid>
      <w:tr w:rsidR="00A20529" w:rsidRPr="00754266" w14:paraId="635718FF" w14:textId="77777777" w:rsidTr="00A20529">
        <w:trPr>
          <w:trHeight w:val="480"/>
          <w:jc w:val="center"/>
        </w:trPr>
        <w:tc>
          <w:tcPr>
            <w:tcW w:w="1339" w:type="dxa"/>
            <w:tcBorders>
              <w:top w:val="single" w:sz="4" w:space="0" w:color="auto"/>
              <w:bottom w:val="single" w:sz="18" w:space="0" w:color="auto"/>
            </w:tcBorders>
            <w:vAlign w:val="center"/>
          </w:tcPr>
          <w:p w14:paraId="36DC63A4" w14:textId="77777777" w:rsidR="002C67F5" w:rsidRPr="00BF0161" w:rsidRDefault="002C67F5" w:rsidP="002E3503">
            <w:pPr>
              <w:spacing w:line="360" w:lineRule="auto"/>
              <w:jc w:val="center"/>
              <w:rPr>
                <w:rFonts w:eastAsia="Calibri"/>
                <w:lang w:val="el-GR"/>
              </w:rPr>
            </w:pPr>
          </w:p>
        </w:tc>
        <w:tc>
          <w:tcPr>
            <w:tcW w:w="1867" w:type="dxa"/>
            <w:tcBorders>
              <w:top w:val="single" w:sz="4" w:space="0" w:color="auto"/>
              <w:bottom w:val="single" w:sz="18" w:space="0" w:color="auto"/>
            </w:tcBorders>
            <w:vAlign w:val="center"/>
          </w:tcPr>
          <w:p w14:paraId="3FE74F4A" w14:textId="77777777" w:rsidR="002C67F5" w:rsidRPr="00754266" w:rsidRDefault="002C67F5" w:rsidP="002E3503">
            <w:pPr>
              <w:spacing w:line="360" w:lineRule="auto"/>
              <w:jc w:val="center"/>
              <w:rPr>
                <w:rFonts w:eastAsia="Calibri"/>
                <w:b/>
                <w:lang w:val="en-US"/>
              </w:rPr>
            </w:pPr>
            <w:proofErr w:type="spellStart"/>
            <w:r w:rsidRPr="00754266">
              <w:rPr>
                <w:rFonts w:eastAsia="Calibri"/>
                <w:b/>
              </w:rPr>
              <w:t>Άντρες</w:t>
            </w:r>
            <w:proofErr w:type="spellEnd"/>
            <w:r w:rsidR="00A20529">
              <w:rPr>
                <w:rFonts w:eastAsia="Calibri"/>
                <w:b/>
                <w:lang w:val="en-US"/>
              </w:rPr>
              <w:t xml:space="preserve"> (N=180</w:t>
            </w:r>
            <w:r w:rsidRPr="00754266">
              <w:rPr>
                <w:rFonts w:eastAsia="Calibri"/>
                <w:b/>
                <w:lang w:val="en-US"/>
              </w:rPr>
              <w:t>)</w:t>
            </w:r>
          </w:p>
        </w:tc>
        <w:tc>
          <w:tcPr>
            <w:tcW w:w="2065" w:type="dxa"/>
            <w:tcBorders>
              <w:top w:val="single" w:sz="4" w:space="0" w:color="auto"/>
              <w:bottom w:val="single" w:sz="18" w:space="0" w:color="auto"/>
            </w:tcBorders>
            <w:vAlign w:val="center"/>
          </w:tcPr>
          <w:p w14:paraId="27D99304" w14:textId="77777777" w:rsidR="002C67F5" w:rsidRPr="00754266" w:rsidRDefault="002C67F5" w:rsidP="002E3503">
            <w:pPr>
              <w:spacing w:line="360" w:lineRule="auto"/>
              <w:jc w:val="center"/>
              <w:rPr>
                <w:rFonts w:eastAsia="Calibri"/>
                <w:b/>
                <w:lang w:val="en-US"/>
              </w:rPr>
            </w:pPr>
            <w:proofErr w:type="spellStart"/>
            <w:r w:rsidRPr="00754266">
              <w:rPr>
                <w:rFonts w:eastAsia="Calibri"/>
                <w:b/>
              </w:rPr>
              <w:t>Γυν</w:t>
            </w:r>
            <w:proofErr w:type="spellEnd"/>
            <w:r w:rsidRPr="00754266">
              <w:rPr>
                <w:rFonts w:eastAsia="Calibri"/>
                <w:b/>
              </w:rPr>
              <w:t>αίκες</w:t>
            </w:r>
            <w:r w:rsidRPr="00754266">
              <w:rPr>
                <w:rFonts w:eastAsia="Calibri"/>
                <w:b/>
                <w:lang w:val="en-US"/>
              </w:rPr>
              <w:t xml:space="preserve"> (N=</w:t>
            </w:r>
            <w:r w:rsidR="00A20529">
              <w:rPr>
                <w:rFonts w:eastAsia="Calibri"/>
                <w:b/>
                <w:lang w:val="en-US"/>
              </w:rPr>
              <w:t>180</w:t>
            </w:r>
            <w:r w:rsidRPr="00754266">
              <w:rPr>
                <w:rFonts w:eastAsia="Calibri"/>
                <w:b/>
                <w:lang w:val="en-US"/>
              </w:rPr>
              <w:t>)</w:t>
            </w:r>
          </w:p>
        </w:tc>
        <w:tc>
          <w:tcPr>
            <w:tcW w:w="2213" w:type="dxa"/>
            <w:tcBorders>
              <w:top w:val="single" w:sz="4" w:space="0" w:color="auto"/>
              <w:bottom w:val="single" w:sz="18" w:space="0" w:color="auto"/>
            </w:tcBorders>
          </w:tcPr>
          <w:p w14:paraId="60E9BEB8" w14:textId="77777777" w:rsidR="002C67F5" w:rsidRPr="00754266" w:rsidRDefault="002C67F5" w:rsidP="002E3503">
            <w:pPr>
              <w:spacing w:line="360" w:lineRule="auto"/>
              <w:jc w:val="center"/>
              <w:rPr>
                <w:rFonts w:eastAsia="Calibri"/>
                <w:b/>
                <w:lang w:val="en-US"/>
              </w:rPr>
            </w:pPr>
          </w:p>
        </w:tc>
        <w:tc>
          <w:tcPr>
            <w:tcW w:w="1030" w:type="dxa"/>
            <w:tcBorders>
              <w:top w:val="single" w:sz="4" w:space="0" w:color="auto"/>
              <w:bottom w:val="single" w:sz="18" w:space="0" w:color="auto"/>
            </w:tcBorders>
            <w:vAlign w:val="center"/>
          </w:tcPr>
          <w:p w14:paraId="02467084" w14:textId="77777777" w:rsidR="002C67F5" w:rsidRPr="00754266" w:rsidRDefault="002C67F5" w:rsidP="002E3503">
            <w:pPr>
              <w:spacing w:line="360" w:lineRule="auto"/>
              <w:jc w:val="center"/>
              <w:rPr>
                <w:rFonts w:eastAsia="Calibri"/>
                <w:b/>
                <w:lang w:val="en-US"/>
              </w:rPr>
            </w:pPr>
          </w:p>
        </w:tc>
      </w:tr>
      <w:tr w:rsidR="00A20529" w:rsidRPr="00754266" w14:paraId="17B74647" w14:textId="77777777" w:rsidTr="00A20529">
        <w:trPr>
          <w:jc w:val="center"/>
        </w:trPr>
        <w:tc>
          <w:tcPr>
            <w:tcW w:w="1339" w:type="dxa"/>
            <w:tcBorders>
              <w:top w:val="single" w:sz="4" w:space="0" w:color="auto"/>
            </w:tcBorders>
            <w:vAlign w:val="center"/>
          </w:tcPr>
          <w:p w14:paraId="1F66CC74" w14:textId="77777777" w:rsidR="002C67F5" w:rsidRPr="00754266" w:rsidRDefault="002C67F5" w:rsidP="002E3503">
            <w:pPr>
              <w:spacing w:line="360" w:lineRule="auto"/>
              <w:jc w:val="center"/>
              <w:rPr>
                <w:rFonts w:eastAsia="Calibri"/>
                <w:b/>
                <w:lang w:val="en-US"/>
              </w:rPr>
            </w:pPr>
          </w:p>
        </w:tc>
        <w:tc>
          <w:tcPr>
            <w:tcW w:w="1867" w:type="dxa"/>
            <w:tcBorders>
              <w:top w:val="single" w:sz="4" w:space="0" w:color="auto"/>
            </w:tcBorders>
            <w:vAlign w:val="center"/>
          </w:tcPr>
          <w:p w14:paraId="45BE3224" w14:textId="77777777" w:rsidR="002C67F5" w:rsidRPr="00754266" w:rsidRDefault="002C67F5" w:rsidP="002E3503">
            <w:pPr>
              <w:spacing w:line="360" w:lineRule="auto"/>
              <w:jc w:val="center"/>
              <w:rPr>
                <w:rFonts w:eastAsia="Calibri"/>
                <w:lang w:val="en-US"/>
              </w:rPr>
            </w:pPr>
            <w:r>
              <w:rPr>
                <w:rFonts w:eastAsia="Calibri"/>
                <w:b/>
                <w:lang w:val="en-US"/>
              </w:rPr>
              <w:t>Mean Range</w:t>
            </w:r>
          </w:p>
        </w:tc>
        <w:tc>
          <w:tcPr>
            <w:tcW w:w="2065" w:type="dxa"/>
            <w:tcBorders>
              <w:top w:val="single" w:sz="4" w:space="0" w:color="auto"/>
            </w:tcBorders>
            <w:vAlign w:val="center"/>
          </w:tcPr>
          <w:p w14:paraId="2C966B2B" w14:textId="77777777" w:rsidR="002C67F5" w:rsidRPr="00754266" w:rsidRDefault="002C67F5" w:rsidP="002E3503">
            <w:pPr>
              <w:spacing w:line="360" w:lineRule="auto"/>
              <w:jc w:val="center"/>
              <w:rPr>
                <w:rFonts w:eastAsia="Calibri"/>
                <w:lang w:val="en-US"/>
              </w:rPr>
            </w:pPr>
            <w:r>
              <w:rPr>
                <w:rFonts w:eastAsia="Calibri"/>
                <w:b/>
                <w:lang w:val="en-US"/>
              </w:rPr>
              <w:t>Mean Range</w:t>
            </w:r>
          </w:p>
        </w:tc>
        <w:tc>
          <w:tcPr>
            <w:tcW w:w="2213" w:type="dxa"/>
            <w:tcBorders>
              <w:top w:val="single" w:sz="4" w:space="0" w:color="auto"/>
            </w:tcBorders>
          </w:tcPr>
          <w:p w14:paraId="219A0D2A" w14:textId="77777777" w:rsidR="002C67F5" w:rsidRPr="00754266" w:rsidRDefault="002C67F5" w:rsidP="002E3503">
            <w:pPr>
              <w:spacing w:line="360" w:lineRule="auto"/>
              <w:jc w:val="center"/>
              <w:rPr>
                <w:rFonts w:eastAsia="Calibri"/>
                <w:b/>
                <w:lang w:val="en-US"/>
              </w:rPr>
            </w:pPr>
            <w:r w:rsidRPr="00754266">
              <w:rPr>
                <w:rFonts w:eastAsia="Calibri"/>
                <w:b/>
                <w:lang w:val="en-US"/>
              </w:rPr>
              <w:t xml:space="preserve">Mann-Whitney </w:t>
            </w:r>
            <w:r w:rsidRPr="00754266">
              <w:rPr>
                <w:rFonts w:eastAsia="Calibri"/>
                <w:b/>
                <w:i/>
                <w:lang w:val="en-US"/>
              </w:rPr>
              <w:t>U</w:t>
            </w:r>
          </w:p>
        </w:tc>
        <w:tc>
          <w:tcPr>
            <w:tcW w:w="1030" w:type="dxa"/>
            <w:tcBorders>
              <w:top w:val="single" w:sz="4" w:space="0" w:color="auto"/>
            </w:tcBorders>
            <w:vAlign w:val="center"/>
          </w:tcPr>
          <w:p w14:paraId="2DF7D51B" w14:textId="77777777" w:rsidR="002C67F5" w:rsidRPr="00754266" w:rsidRDefault="002C67F5" w:rsidP="002E3503">
            <w:pPr>
              <w:spacing w:line="360" w:lineRule="auto"/>
              <w:jc w:val="center"/>
              <w:rPr>
                <w:rFonts w:eastAsia="Calibri"/>
                <w:b/>
                <w:lang w:val="en-US"/>
              </w:rPr>
            </w:pPr>
            <w:r w:rsidRPr="00754266">
              <w:rPr>
                <w:rFonts w:eastAsia="Calibri"/>
                <w:b/>
                <w:i/>
                <w:lang w:val="en-US"/>
              </w:rPr>
              <w:t>P</w:t>
            </w:r>
            <w:r w:rsidRPr="00754266">
              <w:rPr>
                <w:rFonts w:eastAsia="Calibri"/>
                <w:b/>
                <w:lang w:val="en-US"/>
              </w:rPr>
              <w:t xml:space="preserve"> level</w:t>
            </w:r>
          </w:p>
        </w:tc>
      </w:tr>
      <w:tr w:rsidR="00A20529" w:rsidRPr="00754266" w14:paraId="7AFBCD6C" w14:textId="77777777" w:rsidTr="00A20529">
        <w:trPr>
          <w:jc w:val="center"/>
        </w:trPr>
        <w:tc>
          <w:tcPr>
            <w:tcW w:w="1339" w:type="dxa"/>
            <w:tcBorders>
              <w:bottom w:val="single" w:sz="2" w:space="0" w:color="auto"/>
            </w:tcBorders>
            <w:vAlign w:val="center"/>
          </w:tcPr>
          <w:p w14:paraId="6D0FC09F" w14:textId="77777777" w:rsidR="002C67F5" w:rsidRPr="00B5480E" w:rsidRDefault="002C67F5" w:rsidP="002E3503">
            <w:pPr>
              <w:spacing w:line="360" w:lineRule="auto"/>
              <w:rPr>
                <w:rFonts w:eastAsia="Calibri"/>
                <w:b/>
              </w:rPr>
            </w:pPr>
            <w:proofErr w:type="spellStart"/>
            <w:r>
              <w:rPr>
                <w:rFonts w:eastAsia="Calibri"/>
                <w:b/>
              </w:rPr>
              <w:t>Σύνολο</w:t>
            </w:r>
            <w:proofErr w:type="spellEnd"/>
          </w:p>
        </w:tc>
        <w:tc>
          <w:tcPr>
            <w:tcW w:w="1867" w:type="dxa"/>
            <w:tcBorders>
              <w:bottom w:val="single" w:sz="2" w:space="0" w:color="auto"/>
            </w:tcBorders>
            <w:vAlign w:val="center"/>
          </w:tcPr>
          <w:p w14:paraId="105D81C2" w14:textId="77777777" w:rsidR="002C67F5" w:rsidRPr="00B5480E" w:rsidRDefault="002E3503" w:rsidP="002E3503">
            <w:pPr>
              <w:spacing w:line="360" w:lineRule="auto"/>
              <w:jc w:val="center"/>
              <w:rPr>
                <w:rFonts w:eastAsia="Calibri"/>
              </w:rPr>
            </w:pPr>
            <w:r>
              <w:rPr>
                <w:rFonts w:eastAsia="Calibri"/>
              </w:rPr>
              <w:t>176.29</w:t>
            </w:r>
          </w:p>
        </w:tc>
        <w:tc>
          <w:tcPr>
            <w:tcW w:w="2065" w:type="dxa"/>
            <w:tcBorders>
              <w:bottom w:val="single" w:sz="2" w:space="0" w:color="auto"/>
            </w:tcBorders>
            <w:vAlign w:val="center"/>
          </w:tcPr>
          <w:p w14:paraId="6E47BBD3" w14:textId="77777777" w:rsidR="002C67F5" w:rsidRPr="00B5480E" w:rsidRDefault="002E3503" w:rsidP="002E3503">
            <w:pPr>
              <w:spacing w:line="360" w:lineRule="auto"/>
              <w:jc w:val="center"/>
              <w:rPr>
                <w:rFonts w:eastAsia="Calibri"/>
              </w:rPr>
            </w:pPr>
            <w:r>
              <w:rPr>
                <w:rFonts w:eastAsia="Calibri"/>
              </w:rPr>
              <w:t>184.71</w:t>
            </w:r>
          </w:p>
        </w:tc>
        <w:tc>
          <w:tcPr>
            <w:tcW w:w="2213" w:type="dxa"/>
            <w:tcBorders>
              <w:bottom w:val="single" w:sz="2" w:space="0" w:color="auto"/>
            </w:tcBorders>
          </w:tcPr>
          <w:p w14:paraId="50FD9160" w14:textId="77777777" w:rsidR="002C67F5" w:rsidRPr="00754266" w:rsidRDefault="002E3503" w:rsidP="002E3503">
            <w:pPr>
              <w:spacing w:line="360" w:lineRule="auto"/>
              <w:jc w:val="center"/>
              <w:rPr>
                <w:rFonts w:eastAsia="Calibri"/>
                <w:lang w:val="en-US"/>
              </w:rPr>
            </w:pPr>
            <w:r>
              <w:rPr>
                <w:rFonts w:eastAsia="Calibri"/>
              </w:rPr>
              <w:t>15442.000</w:t>
            </w:r>
          </w:p>
        </w:tc>
        <w:tc>
          <w:tcPr>
            <w:tcW w:w="1030" w:type="dxa"/>
            <w:tcBorders>
              <w:bottom w:val="single" w:sz="2" w:space="0" w:color="auto"/>
            </w:tcBorders>
            <w:vAlign w:val="center"/>
          </w:tcPr>
          <w:p w14:paraId="2ABEF64E" w14:textId="77777777" w:rsidR="002C67F5" w:rsidRPr="00B5480E" w:rsidRDefault="002C67F5" w:rsidP="002E3503">
            <w:pPr>
              <w:spacing w:line="360" w:lineRule="auto"/>
              <w:jc w:val="center"/>
              <w:rPr>
                <w:rFonts w:eastAsia="Calibri"/>
              </w:rPr>
            </w:pPr>
            <w:r>
              <w:rPr>
                <w:rFonts w:eastAsia="Calibri"/>
                <w:lang w:val="en-US"/>
              </w:rPr>
              <w:t>.</w:t>
            </w:r>
            <w:r w:rsidR="002E3503">
              <w:rPr>
                <w:rFonts w:eastAsia="Calibri"/>
              </w:rPr>
              <w:t>431</w:t>
            </w:r>
          </w:p>
        </w:tc>
      </w:tr>
    </w:tbl>
    <w:p w14:paraId="2904A631" w14:textId="77777777" w:rsidR="002C67F5" w:rsidRPr="003922C7" w:rsidRDefault="002C67F5" w:rsidP="002C67F5">
      <w:pPr>
        <w:spacing w:line="360" w:lineRule="auto"/>
        <w:jc w:val="both"/>
        <w:rPr>
          <w:rFonts w:eastAsia="Calibri"/>
        </w:rPr>
      </w:pPr>
      <w:r w:rsidRPr="003922C7">
        <w:rPr>
          <w:rFonts w:eastAsia="Calibri"/>
        </w:rPr>
        <w:t>*</w:t>
      </w:r>
      <w:r w:rsidRPr="00754266">
        <w:rPr>
          <w:rFonts w:eastAsia="Calibri"/>
          <w:lang w:val="en-US"/>
        </w:rPr>
        <w:t>p</w:t>
      </w:r>
      <w:r w:rsidRPr="003922C7">
        <w:rPr>
          <w:rFonts w:eastAsia="Calibri"/>
        </w:rPr>
        <w:t xml:space="preserve"> </w:t>
      </w:r>
      <w:r w:rsidRPr="00754266">
        <w:rPr>
          <w:rFonts w:eastAsia="Calibri"/>
          <w:lang w:val="en-US"/>
        </w:rPr>
        <w:t>level</w:t>
      </w:r>
      <w:r w:rsidRPr="003922C7">
        <w:rPr>
          <w:rFonts w:eastAsia="Calibri"/>
        </w:rPr>
        <w:t xml:space="preserve"> </w:t>
      </w:r>
      <w:r w:rsidRPr="00754266">
        <w:rPr>
          <w:rFonts w:eastAsia="Calibri"/>
          <w:lang w:val="en-US"/>
        </w:rPr>
        <w:t>at</w:t>
      </w:r>
      <w:r w:rsidRPr="003922C7">
        <w:rPr>
          <w:rFonts w:eastAsia="Calibri"/>
        </w:rPr>
        <w:t xml:space="preserve"> </w:t>
      </w:r>
      <w:r w:rsidRPr="00754266">
        <w:rPr>
          <w:rFonts w:eastAsia="Calibri"/>
          <w:i/>
          <w:lang w:val="en-US"/>
        </w:rPr>
        <w:t>P</w:t>
      </w:r>
      <w:r w:rsidRPr="003922C7">
        <w:rPr>
          <w:rFonts w:eastAsia="Calibri"/>
        </w:rPr>
        <w:t>&lt;0.05</w:t>
      </w:r>
    </w:p>
    <w:p w14:paraId="32686651" w14:textId="77777777" w:rsidR="002C67F5" w:rsidRPr="003F25DD" w:rsidRDefault="002C67F5" w:rsidP="002C67F5">
      <w:pPr>
        <w:spacing w:before="120" w:line="360" w:lineRule="auto"/>
        <w:jc w:val="both"/>
        <w:rPr>
          <w:sz w:val="12"/>
          <w:szCs w:val="12"/>
        </w:rPr>
      </w:pPr>
    </w:p>
    <w:p w14:paraId="6A29F3F6" w14:textId="77777777" w:rsidR="006C2342" w:rsidRPr="00BF0161" w:rsidRDefault="002C67F5" w:rsidP="00403EE9">
      <w:pPr>
        <w:spacing w:after="120" w:line="360" w:lineRule="auto"/>
        <w:jc w:val="both"/>
        <w:rPr>
          <w:lang w:val="el-GR"/>
        </w:rPr>
      </w:pPr>
      <w:r w:rsidRPr="00BF0161">
        <w:rPr>
          <w:lang w:val="el-GR"/>
        </w:rPr>
        <w:t xml:space="preserve">Συγκεκριμένα καμία στατιστικά σημαντική διαφορά δεν εντοπίστηκε μεταξύ ανδρών και γυναικών, </w:t>
      </w:r>
      <w:r w:rsidRPr="00754266">
        <w:rPr>
          <w:lang w:val="en-US"/>
        </w:rPr>
        <w:t>U</w:t>
      </w:r>
      <w:r w:rsidRPr="00BF0161">
        <w:rPr>
          <w:lang w:val="el-GR"/>
        </w:rPr>
        <w:t xml:space="preserve">= </w:t>
      </w:r>
      <w:r w:rsidR="002E3503" w:rsidRPr="00BF0161">
        <w:rPr>
          <w:rFonts w:eastAsia="Calibri"/>
          <w:lang w:val="el-GR"/>
        </w:rPr>
        <w:t>15442.000</w:t>
      </w:r>
      <w:r w:rsidRPr="00BF0161">
        <w:rPr>
          <w:lang w:val="el-GR"/>
        </w:rPr>
        <w:t xml:space="preserve">, </w:t>
      </w:r>
      <w:r w:rsidRPr="00754266">
        <w:rPr>
          <w:lang w:val="en-US"/>
        </w:rPr>
        <w:t>NS</w:t>
      </w:r>
      <w:r w:rsidRPr="00BF0161">
        <w:rPr>
          <w:i/>
          <w:lang w:val="el-GR"/>
        </w:rPr>
        <w:t xml:space="preserve"> </w:t>
      </w:r>
      <w:r w:rsidRPr="00BF0161">
        <w:rPr>
          <w:lang w:val="el-GR"/>
        </w:rPr>
        <w:t xml:space="preserve">για το συνολικό σκορ της κλίμακας αυτοαντίληψης της </w:t>
      </w:r>
      <w:r w:rsidR="003922C7" w:rsidRPr="00BF0161">
        <w:rPr>
          <w:lang w:val="el-GR"/>
        </w:rPr>
        <w:t xml:space="preserve">ικανότητας κατάποσης </w:t>
      </w:r>
      <w:r w:rsidRPr="00BF0161">
        <w:rPr>
          <w:lang w:val="el-GR"/>
        </w:rPr>
        <w:t>(Πίνακας 3.2).</w:t>
      </w:r>
    </w:p>
    <w:p w14:paraId="66810998" w14:textId="77777777" w:rsidR="006C2342" w:rsidRPr="00BF0161" w:rsidRDefault="006C2342" w:rsidP="00403EE9">
      <w:pPr>
        <w:spacing w:after="120" w:line="360" w:lineRule="auto"/>
        <w:jc w:val="both"/>
        <w:rPr>
          <w:lang w:val="el-GR"/>
        </w:rPr>
      </w:pPr>
      <w:r w:rsidRPr="00BF0161">
        <w:rPr>
          <w:lang w:val="el-GR"/>
        </w:rPr>
        <w:lastRenderedPageBreak/>
        <w:t xml:space="preserve">Παρακάτω παρουσιάζονται οι συγκρίσεις των μέσων τιμών με </w:t>
      </w:r>
      <w:r w:rsidR="002E3503" w:rsidRPr="00BF0161">
        <w:rPr>
          <w:lang w:val="el-GR"/>
        </w:rPr>
        <w:t>βάση το φύλο, για την ερώτηση 10</w:t>
      </w:r>
      <w:r w:rsidRPr="00BF0161">
        <w:rPr>
          <w:lang w:val="el-GR"/>
        </w:rPr>
        <w:t xml:space="preserve"> της κλίμακας αυτοαντίληψης των </w:t>
      </w:r>
      <w:r w:rsidR="002E3503" w:rsidRPr="00BF0161">
        <w:rPr>
          <w:lang w:val="el-GR"/>
        </w:rPr>
        <w:t xml:space="preserve">ικανοτήτων κατάποσης. </w:t>
      </w:r>
      <w:r w:rsidRPr="00BF0161">
        <w:rPr>
          <w:lang w:val="el-GR"/>
        </w:rPr>
        <w:t xml:space="preserve">Μετά από τον έλεγχο κανονικότητας ένα </w:t>
      </w:r>
      <w:r w:rsidRPr="0061714A">
        <w:t>chi</w:t>
      </w:r>
      <w:r w:rsidRPr="00BF0161">
        <w:rPr>
          <w:lang w:val="el-GR"/>
        </w:rPr>
        <w:t>-</w:t>
      </w:r>
      <w:r w:rsidRPr="0061714A">
        <w:t>square</w:t>
      </w:r>
      <w:r w:rsidRPr="00BF0161">
        <w:rPr>
          <w:lang w:val="el-GR"/>
        </w:rPr>
        <w:t xml:space="preserve"> </w:t>
      </w:r>
      <w:r w:rsidRPr="0061714A">
        <w:t>test</w:t>
      </w:r>
      <w:r w:rsidRPr="00BF0161">
        <w:rPr>
          <w:lang w:val="el-GR"/>
        </w:rPr>
        <w:t xml:space="preserve"> πραγματοποιήθηκε. Συγκεκριμένα</w:t>
      </w:r>
      <w:r w:rsidR="00CF34A9" w:rsidRPr="00714EE5">
        <w:rPr>
          <w:lang w:val="el-GR"/>
        </w:rPr>
        <w:t>,</w:t>
      </w:r>
      <w:r w:rsidRPr="00BF0161">
        <w:rPr>
          <w:lang w:val="el-GR"/>
        </w:rPr>
        <w:t xml:space="preserve"> στατιστικά σημαντική διαφορά δεν εντοπίστηκε μεταξύ ανδρών και γυναικών για το ελληνικό δείγμα </w:t>
      </w:r>
      <w:r>
        <w:t>x</w:t>
      </w:r>
      <w:r w:rsidRPr="00BF0161">
        <w:rPr>
          <w:vertAlign w:val="superscript"/>
          <w:lang w:val="el-GR"/>
        </w:rPr>
        <w:t>2</w:t>
      </w:r>
      <w:r w:rsidR="002E3503" w:rsidRPr="00BF0161">
        <w:rPr>
          <w:lang w:val="el-GR"/>
        </w:rPr>
        <w:t>(1)= 20.688</w:t>
      </w:r>
      <w:r w:rsidRPr="00BF0161">
        <w:rPr>
          <w:lang w:val="el-GR"/>
        </w:rPr>
        <w:t xml:space="preserve">, </w:t>
      </w:r>
      <w:r w:rsidR="002E3503">
        <w:t>p</w:t>
      </w:r>
      <w:r w:rsidR="002E3503" w:rsidRPr="00BF0161">
        <w:rPr>
          <w:lang w:val="el-GR"/>
        </w:rPr>
        <w:t>= .000</w:t>
      </w:r>
      <w:r w:rsidRPr="00BF0161">
        <w:rPr>
          <w:lang w:val="el-GR"/>
        </w:rPr>
        <w:t>.</w:t>
      </w:r>
    </w:p>
    <w:p w14:paraId="7F59F544" w14:textId="77777777" w:rsidR="002E3503" w:rsidRPr="00DD5D8D" w:rsidRDefault="002E3503" w:rsidP="00403EE9">
      <w:pPr>
        <w:spacing w:after="120" w:line="360" w:lineRule="auto"/>
        <w:jc w:val="both"/>
        <w:rPr>
          <w:lang w:val="el-GR"/>
        </w:rPr>
      </w:pPr>
      <w:r w:rsidRPr="00BF0161">
        <w:rPr>
          <w:lang w:val="el-GR"/>
        </w:rPr>
        <w:t>Επίσης</w:t>
      </w:r>
      <w:r w:rsidR="00CF34A9" w:rsidRPr="00CF34A9">
        <w:rPr>
          <w:lang w:val="el-GR"/>
        </w:rPr>
        <w:t>,</w:t>
      </w:r>
      <w:r w:rsidRPr="00BF0161">
        <w:rPr>
          <w:lang w:val="el-GR"/>
        </w:rPr>
        <w:t xml:space="preserve"> καμία στατιστικά σημαντική διαφορά δεν εντοπίστηκε μεταξύ ανδρών και γυναικών σε όλες τις ερωτήσεις της κλίμακας </w:t>
      </w:r>
      <w:proofErr w:type="spellStart"/>
      <w:r w:rsidRPr="00BF0161">
        <w:rPr>
          <w:lang w:val="el-GR"/>
        </w:rPr>
        <w:t>αυτοαναφοράς</w:t>
      </w:r>
      <w:proofErr w:type="spellEnd"/>
      <w:r w:rsidRPr="00BF0161">
        <w:rPr>
          <w:lang w:val="el-GR"/>
        </w:rPr>
        <w:t xml:space="preserve">. Συγκριμένα για την </w:t>
      </w:r>
      <w:r>
        <w:rPr>
          <w:lang w:val="en-US"/>
        </w:rPr>
        <w:t>Q</w:t>
      </w:r>
      <w:r w:rsidRPr="00BF0161">
        <w:rPr>
          <w:lang w:val="el-GR"/>
        </w:rPr>
        <w:t xml:space="preserve">1 ήταν </w:t>
      </w:r>
      <w:r w:rsidRPr="005554F9">
        <w:rPr>
          <w:lang w:val="en-US"/>
        </w:rPr>
        <w:t>U</w:t>
      </w:r>
      <w:r w:rsidRPr="00BF0161">
        <w:rPr>
          <w:lang w:val="el-GR"/>
        </w:rPr>
        <w:t xml:space="preserve">= 26123.00, </w:t>
      </w:r>
      <w:r w:rsidRPr="005554F9">
        <w:rPr>
          <w:lang w:val="en-US"/>
        </w:rPr>
        <w:t>NS</w:t>
      </w:r>
      <w:r w:rsidRPr="00BF0161">
        <w:rPr>
          <w:lang w:val="el-GR"/>
        </w:rPr>
        <w:t>.</w:t>
      </w:r>
      <w:r w:rsidR="009F682D" w:rsidRPr="00BF0161">
        <w:rPr>
          <w:lang w:val="el-GR"/>
        </w:rPr>
        <w:t xml:space="preserve"> </w:t>
      </w:r>
      <w:r w:rsidRPr="00F36307">
        <w:rPr>
          <w:lang w:val="el-GR"/>
        </w:rPr>
        <w:t xml:space="preserve">Παρόμοια δεν εντοπίστηκαν στατιστικά σημαντικές διαφορές για τους υπόλοιπες ερωτήσεις της κλίμακας σε επίπεδο μέσων τιμών για την </w:t>
      </w:r>
      <w:r>
        <w:rPr>
          <w:lang w:val="en-US"/>
        </w:rPr>
        <w:t>Q</w:t>
      </w:r>
      <w:r w:rsidRPr="00F36307">
        <w:rPr>
          <w:lang w:val="el-GR"/>
        </w:rPr>
        <w:t>2 (</w:t>
      </w:r>
      <w:r w:rsidRPr="005554F9">
        <w:t>U</w:t>
      </w:r>
      <w:r w:rsidRPr="00F36307">
        <w:rPr>
          <w:lang w:val="el-GR"/>
        </w:rPr>
        <w:t xml:space="preserve">= 25847.50, </w:t>
      </w:r>
      <w:r w:rsidRPr="005554F9">
        <w:t>NS</w:t>
      </w:r>
      <w:r w:rsidRPr="00F36307">
        <w:rPr>
          <w:lang w:val="el-GR"/>
        </w:rPr>
        <w:t xml:space="preserve">), </w:t>
      </w:r>
      <w:r w:rsidR="00C62A25" w:rsidRPr="00F36307">
        <w:rPr>
          <w:lang w:val="el-GR"/>
        </w:rPr>
        <w:t xml:space="preserve">για την </w:t>
      </w:r>
      <w:r w:rsidR="00C62A25">
        <w:rPr>
          <w:lang w:val="en-US"/>
        </w:rPr>
        <w:t>Q</w:t>
      </w:r>
      <w:r w:rsidR="00DD5D8D">
        <w:rPr>
          <w:lang w:val="el-GR"/>
        </w:rPr>
        <w:t>2b</w:t>
      </w:r>
      <w:r w:rsidR="00C62A25" w:rsidRPr="00F36307">
        <w:rPr>
          <w:lang w:val="el-GR"/>
        </w:rPr>
        <w:t xml:space="preserve"> (</w:t>
      </w:r>
      <w:r w:rsidR="00C62A25" w:rsidRPr="005554F9">
        <w:rPr>
          <w:lang w:val="en-US"/>
        </w:rPr>
        <w:t>U</w:t>
      </w:r>
      <w:r w:rsidR="00C62A25" w:rsidRPr="00F36307">
        <w:rPr>
          <w:lang w:val="el-GR"/>
        </w:rPr>
        <w:t xml:space="preserve">= 20559.50, </w:t>
      </w:r>
      <w:r w:rsidR="00C62A25" w:rsidRPr="005554F9">
        <w:t>NS</w:t>
      </w:r>
      <w:r w:rsidR="00C62A25" w:rsidRPr="00F36307">
        <w:rPr>
          <w:lang w:val="el-GR"/>
        </w:rPr>
        <w:t xml:space="preserve">), </w:t>
      </w:r>
      <w:r w:rsidRPr="00F36307">
        <w:rPr>
          <w:lang w:val="el-GR"/>
        </w:rPr>
        <w:t xml:space="preserve">για την </w:t>
      </w:r>
      <w:r>
        <w:rPr>
          <w:lang w:val="en-US"/>
        </w:rPr>
        <w:t>Q</w:t>
      </w:r>
      <w:r w:rsidR="00DD5D8D">
        <w:rPr>
          <w:lang w:val="el-GR"/>
        </w:rPr>
        <w:t>3</w:t>
      </w:r>
      <w:r w:rsidRPr="00F36307">
        <w:rPr>
          <w:lang w:val="el-GR"/>
        </w:rPr>
        <w:t xml:space="preserve"> (</w:t>
      </w:r>
      <w:r w:rsidRPr="005554F9">
        <w:t>U</w:t>
      </w:r>
      <w:r w:rsidRPr="00F36307">
        <w:rPr>
          <w:lang w:val="el-GR"/>
        </w:rPr>
        <w:t xml:space="preserve">= 24902.50, </w:t>
      </w:r>
      <w:r w:rsidRPr="005554F9">
        <w:t>NS</w:t>
      </w:r>
      <w:r w:rsidRPr="00F36307">
        <w:rPr>
          <w:lang w:val="el-GR"/>
        </w:rPr>
        <w:t xml:space="preserve">), για την </w:t>
      </w:r>
      <w:r>
        <w:rPr>
          <w:lang w:val="en-US"/>
        </w:rPr>
        <w:t>Q</w:t>
      </w:r>
      <w:r w:rsidR="00DD5D8D">
        <w:rPr>
          <w:lang w:val="el-GR"/>
        </w:rPr>
        <w:t>3b</w:t>
      </w:r>
      <w:r w:rsidRPr="00F36307">
        <w:rPr>
          <w:lang w:val="el-GR"/>
        </w:rPr>
        <w:t xml:space="preserve"> (</w:t>
      </w:r>
      <w:r w:rsidRPr="005554F9">
        <w:t>U</w:t>
      </w:r>
      <w:r w:rsidRPr="00F36307">
        <w:rPr>
          <w:lang w:val="el-GR"/>
        </w:rPr>
        <w:t xml:space="preserve">= 23566.50, </w:t>
      </w:r>
      <w:r w:rsidRPr="005554F9">
        <w:t>NS</w:t>
      </w:r>
      <w:r w:rsidRPr="00F36307">
        <w:rPr>
          <w:lang w:val="el-GR"/>
        </w:rPr>
        <w:t xml:space="preserve">), </w:t>
      </w:r>
      <w:r w:rsidR="00C62A25" w:rsidRPr="00F36307">
        <w:rPr>
          <w:lang w:val="el-GR"/>
        </w:rPr>
        <w:t xml:space="preserve">για την </w:t>
      </w:r>
      <w:r w:rsidR="00C62A25">
        <w:rPr>
          <w:lang w:val="en-US"/>
        </w:rPr>
        <w:t>Q</w:t>
      </w:r>
      <w:r w:rsidR="00DD5D8D">
        <w:rPr>
          <w:lang w:val="el-GR"/>
        </w:rPr>
        <w:t>4</w:t>
      </w:r>
      <w:r w:rsidR="00C62A25" w:rsidRPr="00F36307">
        <w:rPr>
          <w:lang w:val="el-GR"/>
        </w:rPr>
        <w:t xml:space="preserve"> (</w:t>
      </w:r>
      <w:r w:rsidR="00C62A25" w:rsidRPr="005554F9">
        <w:rPr>
          <w:lang w:val="en-US"/>
        </w:rPr>
        <w:t>U</w:t>
      </w:r>
      <w:r w:rsidR="00C62A25" w:rsidRPr="00F36307">
        <w:rPr>
          <w:lang w:val="el-GR"/>
        </w:rPr>
        <w:t xml:space="preserve">= 22684.00, </w:t>
      </w:r>
      <w:r w:rsidR="00C62A25" w:rsidRPr="005554F9">
        <w:t>NS</w:t>
      </w:r>
      <w:r w:rsidR="00C62A25" w:rsidRPr="00F36307">
        <w:rPr>
          <w:lang w:val="el-GR"/>
        </w:rPr>
        <w:t>).,</w:t>
      </w:r>
      <w:r w:rsidRPr="00F36307">
        <w:rPr>
          <w:lang w:val="el-GR"/>
        </w:rPr>
        <w:t xml:space="preserve">για την </w:t>
      </w:r>
      <w:r>
        <w:rPr>
          <w:lang w:val="en-US"/>
        </w:rPr>
        <w:t>Q</w:t>
      </w:r>
      <w:r w:rsidR="00DD5D8D">
        <w:rPr>
          <w:lang w:val="el-GR"/>
        </w:rPr>
        <w:t>4b</w:t>
      </w:r>
      <w:r w:rsidRPr="00F36307">
        <w:rPr>
          <w:lang w:val="el-GR"/>
        </w:rPr>
        <w:t xml:space="preserve"> (</w:t>
      </w:r>
      <w:r w:rsidRPr="005554F9">
        <w:rPr>
          <w:lang w:val="en-US"/>
        </w:rPr>
        <w:t>U</w:t>
      </w:r>
      <w:r w:rsidRPr="00F36307">
        <w:rPr>
          <w:lang w:val="el-GR"/>
        </w:rPr>
        <w:t xml:space="preserve">= 25278.00, </w:t>
      </w:r>
      <w:r w:rsidRPr="005554F9">
        <w:rPr>
          <w:lang w:val="en-US"/>
        </w:rPr>
        <w:t>NS</w:t>
      </w:r>
      <w:r w:rsidRPr="00F36307">
        <w:rPr>
          <w:lang w:val="el-GR"/>
        </w:rPr>
        <w:t xml:space="preserve">), για την </w:t>
      </w:r>
      <w:r>
        <w:rPr>
          <w:lang w:val="en-US"/>
        </w:rPr>
        <w:t>Q</w:t>
      </w:r>
      <w:r w:rsidR="00DD5D8D">
        <w:rPr>
          <w:lang w:val="el-GR"/>
        </w:rPr>
        <w:t>5</w:t>
      </w:r>
      <w:r w:rsidRPr="00F36307">
        <w:rPr>
          <w:lang w:val="el-GR"/>
        </w:rPr>
        <w:t xml:space="preserve"> (</w:t>
      </w:r>
      <w:r w:rsidRPr="005554F9">
        <w:rPr>
          <w:lang w:val="en-US"/>
        </w:rPr>
        <w:t>U</w:t>
      </w:r>
      <w:r w:rsidRPr="00F36307">
        <w:rPr>
          <w:lang w:val="el-GR"/>
        </w:rPr>
        <w:t xml:space="preserve">= 23707.00, </w:t>
      </w:r>
      <w:r w:rsidRPr="005554F9">
        <w:rPr>
          <w:lang w:val="en-US"/>
        </w:rPr>
        <w:t>NS</w:t>
      </w:r>
      <w:r w:rsidRPr="00F36307">
        <w:rPr>
          <w:lang w:val="el-GR"/>
        </w:rPr>
        <w:t xml:space="preserve">), για την </w:t>
      </w:r>
      <w:r>
        <w:rPr>
          <w:lang w:val="en-US"/>
        </w:rPr>
        <w:t>Q</w:t>
      </w:r>
      <w:r w:rsidR="00DD5D8D">
        <w:rPr>
          <w:lang w:val="el-GR"/>
        </w:rPr>
        <w:t>6</w:t>
      </w:r>
      <w:r w:rsidRPr="00F36307">
        <w:rPr>
          <w:lang w:val="el-GR"/>
        </w:rPr>
        <w:t xml:space="preserve"> (</w:t>
      </w:r>
      <w:r w:rsidRPr="005554F9">
        <w:rPr>
          <w:lang w:val="en-US"/>
        </w:rPr>
        <w:t>U</w:t>
      </w:r>
      <w:r w:rsidRPr="00F36307">
        <w:rPr>
          <w:lang w:val="el-GR"/>
        </w:rPr>
        <w:t xml:space="preserve">= 25754.00, </w:t>
      </w:r>
      <w:r w:rsidRPr="005554F9">
        <w:rPr>
          <w:lang w:val="en-US"/>
        </w:rPr>
        <w:t>NS</w:t>
      </w:r>
      <w:r w:rsidRPr="00F36307">
        <w:rPr>
          <w:lang w:val="el-GR"/>
        </w:rPr>
        <w:t xml:space="preserve">), για την </w:t>
      </w:r>
      <w:r>
        <w:rPr>
          <w:lang w:val="en-US"/>
        </w:rPr>
        <w:t>Q</w:t>
      </w:r>
      <w:r w:rsidR="00DD5D8D">
        <w:rPr>
          <w:lang w:val="el-GR"/>
        </w:rPr>
        <w:t>7</w:t>
      </w:r>
      <w:r w:rsidRPr="00F36307">
        <w:rPr>
          <w:lang w:val="el-GR"/>
        </w:rPr>
        <w:t xml:space="preserve"> (</w:t>
      </w:r>
      <w:r w:rsidRPr="005554F9">
        <w:rPr>
          <w:lang w:val="en-US"/>
        </w:rPr>
        <w:t>U</w:t>
      </w:r>
      <w:r w:rsidRPr="00F36307">
        <w:rPr>
          <w:lang w:val="el-GR"/>
        </w:rPr>
        <w:t xml:space="preserve">= 24682.00, </w:t>
      </w:r>
      <w:r w:rsidRPr="005554F9">
        <w:rPr>
          <w:lang w:val="en-US"/>
        </w:rPr>
        <w:t>NS</w:t>
      </w:r>
      <w:r w:rsidRPr="00F36307">
        <w:rPr>
          <w:lang w:val="el-GR"/>
        </w:rPr>
        <w:t>)</w:t>
      </w:r>
      <w:r w:rsidR="00DD5D8D">
        <w:rPr>
          <w:lang w:val="el-GR"/>
        </w:rPr>
        <w:t xml:space="preserve">, </w:t>
      </w:r>
      <w:r w:rsidR="00DD5D8D" w:rsidRPr="00F36307">
        <w:rPr>
          <w:lang w:val="el-GR"/>
        </w:rPr>
        <w:t xml:space="preserve">για την </w:t>
      </w:r>
      <w:r w:rsidR="00DD5D8D">
        <w:rPr>
          <w:lang w:val="en-US"/>
        </w:rPr>
        <w:t>Q</w:t>
      </w:r>
      <w:r w:rsidR="00DD5D8D">
        <w:rPr>
          <w:lang w:val="el-GR"/>
        </w:rPr>
        <w:t>8</w:t>
      </w:r>
      <w:r w:rsidR="00DD5D8D" w:rsidRPr="00F36307">
        <w:rPr>
          <w:lang w:val="el-GR"/>
        </w:rPr>
        <w:t xml:space="preserve"> (</w:t>
      </w:r>
      <w:r w:rsidR="00DD5D8D" w:rsidRPr="005554F9">
        <w:rPr>
          <w:lang w:val="en-US"/>
        </w:rPr>
        <w:t>U</w:t>
      </w:r>
      <w:r w:rsidR="00DD5D8D" w:rsidRPr="00F36307">
        <w:rPr>
          <w:lang w:val="el-GR"/>
        </w:rPr>
        <w:t xml:space="preserve">= 23707.00, </w:t>
      </w:r>
      <w:r w:rsidR="00DD5D8D" w:rsidRPr="005554F9">
        <w:rPr>
          <w:lang w:val="en-US"/>
        </w:rPr>
        <w:t>NS</w:t>
      </w:r>
      <w:r w:rsidR="00DD5D8D" w:rsidRPr="00F36307">
        <w:rPr>
          <w:lang w:val="el-GR"/>
        </w:rPr>
        <w:t xml:space="preserve">), για την </w:t>
      </w:r>
      <w:r w:rsidR="00DD5D8D">
        <w:rPr>
          <w:lang w:val="en-US"/>
        </w:rPr>
        <w:t>Q</w:t>
      </w:r>
      <w:r w:rsidR="00DD5D8D">
        <w:rPr>
          <w:lang w:val="el-GR"/>
        </w:rPr>
        <w:t>9</w:t>
      </w:r>
      <w:r w:rsidR="00DD5D8D" w:rsidRPr="00F36307">
        <w:rPr>
          <w:lang w:val="el-GR"/>
        </w:rPr>
        <w:t xml:space="preserve"> (</w:t>
      </w:r>
      <w:r w:rsidR="00DD5D8D" w:rsidRPr="005554F9">
        <w:rPr>
          <w:lang w:val="en-US"/>
        </w:rPr>
        <w:t>U</w:t>
      </w:r>
      <w:r w:rsidR="00DD5D8D" w:rsidRPr="00F36307">
        <w:rPr>
          <w:lang w:val="el-GR"/>
        </w:rPr>
        <w:t xml:space="preserve">= 25754.00, </w:t>
      </w:r>
      <w:r w:rsidR="00DD5D8D" w:rsidRPr="005554F9">
        <w:rPr>
          <w:lang w:val="en-US"/>
        </w:rPr>
        <w:t>NS</w:t>
      </w:r>
      <w:r w:rsidR="00DD5D8D">
        <w:rPr>
          <w:lang w:val="el-GR"/>
        </w:rPr>
        <w:t xml:space="preserve">) και </w:t>
      </w:r>
      <w:r w:rsidR="00DD5D8D" w:rsidRPr="00F36307">
        <w:rPr>
          <w:lang w:val="el-GR"/>
        </w:rPr>
        <w:t xml:space="preserve">για την </w:t>
      </w:r>
      <w:r w:rsidR="00DD5D8D">
        <w:rPr>
          <w:lang w:val="en-US"/>
        </w:rPr>
        <w:t>Q</w:t>
      </w:r>
      <w:r w:rsidR="00DD5D8D">
        <w:rPr>
          <w:lang w:val="el-GR"/>
        </w:rPr>
        <w:t>11</w:t>
      </w:r>
      <w:r w:rsidR="00DD5D8D" w:rsidRPr="00F36307">
        <w:rPr>
          <w:lang w:val="el-GR"/>
        </w:rPr>
        <w:t xml:space="preserve"> (</w:t>
      </w:r>
      <w:r w:rsidR="00DD5D8D" w:rsidRPr="005554F9">
        <w:rPr>
          <w:lang w:val="en-US"/>
        </w:rPr>
        <w:t>U</w:t>
      </w:r>
      <w:r w:rsidR="00DD5D8D" w:rsidRPr="00F36307">
        <w:rPr>
          <w:lang w:val="el-GR"/>
        </w:rPr>
        <w:t xml:space="preserve">= 24682.00, </w:t>
      </w:r>
      <w:r w:rsidR="00DD5D8D" w:rsidRPr="005554F9">
        <w:rPr>
          <w:lang w:val="en-US"/>
        </w:rPr>
        <w:t>NS</w:t>
      </w:r>
      <w:r w:rsidR="00DD5D8D" w:rsidRPr="00F36307">
        <w:rPr>
          <w:lang w:val="el-GR"/>
        </w:rPr>
        <w:t>)</w:t>
      </w:r>
      <w:r w:rsidR="00DD5D8D">
        <w:rPr>
          <w:lang w:val="el-GR"/>
        </w:rPr>
        <w:t xml:space="preserve"> </w:t>
      </w:r>
      <w:r w:rsidRPr="00DD5D8D">
        <w:rPr>
          <w:lang w:val="el-GR"/>
        </w:rPr>
        <w:t>(Πίνακας 3.3).</w:t>
      </w:r>
    </w:p>
    <w:p w14:paraId="392324DE" w14:textId="77777777" w:rsidR="00DD5D8D" w:rsidRPr="00BB5933" w:rsidRDefault="00DD5D8D" w:rsidP="00403EE9">
      <w:pPr>
        <w:autoSpaceDE w:val="0"/>
        <w:autoSpaceDN w:val="0"/>
        <w:adjustRightInd w:val="0"/>
        <w:spacing w:after="120" w:line="360" w:lineRule="auto"/>
        <w:jc w:val="both"/>
        <w:rPr>
          <w:lang w:val="el-GR"/>
        </w:rPr>
      </w:pPr>
    </w:p>
    <w:p w14:paraId="144A3989" w14:textId="77777777" w:rsidR="002C67F5" w:rsidRPr="00F36307" w:rsidRDefault="002C67F5" w:rsidP="002C67F5">
      <w:pPr>
        <w:keepNext/>
        <w:spacing w:line="360" w:lineRule="auto"/>
        <w:jc w:val="both"/>
        <w:rPr>
          <w:rFonts w:eastAsia="Times New Roman"/>
          <w:b/>
          <w:bCs/>
          <w:lang w:val="el-GR"/>
        </w:rPr>
      </w:pPr>
      <w:r w:rsidRPr="00F36307">
        <w:rPr>
          <w:rFonts w:eastAsia="Times New Roman"/>
          <w:b/>
          <w:bCs/>
          <w:lang w:val="el-GR"/>
        </w:rPr>
        <w:lastRenderedPageBreak/>
        <w:t xml:space="preserve">Πίνακας 3.3. Σύγκριση Μέσων μεταξύ Ανδρών και Γυναικών για τις Ερωτήσεις του </w:t>
      </w:r>
      <w:r w:rsidR="001D70EF" w:rsidRPr="00F36307">
        <w:rPr>
          <w:rFonts w:eastAsia="Times New Roman"/>
          <w:b/>
          <w:bCs/>
          <w:lang w:val="el-GR"/>
        </w:rPr>
        <w:t>της</w:t>
      </w:r>
      <w:r w:rsidR="00E60943" w:rsidRPr="00F36307">
        <w:rPr>
          <w:rFonts w:eastAsia="Times New Roman"/>
          <w:b/>
          <w:bCs/>
          <w:lang w:val="el-GR"/>
        </w:rPr>
        <w:t xml:space="preserve"> Κλ</w:t>
      </w:r>
      <w:r w:rsidR="001D70EF" w:rsidRPr="00F36307">
        <w:rPr>
          <w:rFonts w:eastAsia="Times New Roman"/>
          <w:b/>
          <w:bCs/>
          <w:lang w:val="el-GR"/>
        </w:rPr>
        <w:t>ίμακας</w:t>
      </w:r>
      <w:r w:rsidRPr="00F36307">
        <w:rPr>
          <w:rFonts w:eastAsia="Times New Roman"/>
          <w:b/>
          <w:bCs/>
          <w:lang w:val="el-GR"/>
        </w:rPr>
        <w:t xml:space="preserve"> Αυτοαντίληψης της </w:t>
      </w:r>
      <w:r w:rsidR="001D70EF" w:rsidRPr="00F36307">
        <w:rPr>
          <w:rFonts w:eastAsia="Times New Roman"/>
          <w:b/>
          <w:bCs/>
          <w:lang w:val="el-GR"/>
        </w:rPr>
        <w:t>Κατάποσης</w:t>
      </w:r>
      <w:r w:rsidRPr="00F36307">
        <w:rPr>
          <w:rFonts w:eastAsia="Times New Roman"/>
          <w:b/>
          <w:bCs/>
          <w:lang w:val="el-GR"/>
        </w:rPr>
        <w:t>.</w:t>
      </w:r>
    </w:p>
    <w:tbl>
      <w:tblPr>
        <w:tblW w:w="8229" w:type="dxa"/>
        <w:jc w:val="center"/>
        <w:tblCellMar>
          <w:top w:w="58" w:type="dxa"/>
          <w:left w:w="115" w:type="dxa"/>
          <w:bottom w:w="58" w:type="dxa"/>
          <w:right w:w="115" w:type="dxa"/>
        </w:tblCellMar>
        <w:tblLook w:val="01E0" w:firstRow="1" w:lastRow="1" w:firstColumn="1" w:lastColumn="1" w:noHBand="0" w:noVBand="0"/>
      </w:tblPr>
      <w:tblGrid>
        <w:gridCol w:w="735"/>
        <w:gridCol w:w="68"/>
        <w:gridCol w:w="2010"/>
        <w:gridCol w:w="2263"/>
        <w:gridCol w:w="2051"/>
        <w:gridCol w:w="1102"/>
      </w:tblGrid>
      <w:tr w:rsidR="002C67F5" w:rsidRPr="00A90998" w14:paraId="7BF3652C" w14:textId="77777777" w:rsidTr="009A2D05">
        <w:trPr>
          <w:trHeight w:val="480"/>
          <w:jc w:val="center"/>
        </w:trPr>
        <w:tc>
          <w:tcPr>
            <w:tcW w:w="803" w:type="dxa"/>
            <w:gridSpan w:val="2"/>
            <w:tcBorders>
              <w:top w:val="single" w:sz="4" w:space="0" w:color="auto"/>
              <w:bottom w:val="single" w:sz="18" w:space="0" w:color="auto"/>
            </w:tcBorders>
            <w:vAlign w:val="center"/>
          </w:tcPr>
          <w:p w14:paraId="7E8DEAEC" w14:textId="77777777" w:rsidR="002C67F5" w:rsidRPr="00F36307" w:rsidRDefault="002C67F5" w:rsidP="002E3503">
            <w:pPr>
              <w:spacing w:line="360" w:lineRule="auto"/>
              <w:jc w:val="center"/>
              <w:rPr>
                <w:rFonts w:eastAsia="Calibri"/>
                <w:lang w:val="el-GR"/>
              </w:rPr>
            </w:pPr>
          </w:p>
        </w:tc>
        <w:tc>
          <w:tcPr>
            <w:tcW w:w="2010" w:type="dxa"/>
            <w:tcBorders>
              <w:top w:val="single" w:sz="4" w:space="0" w:color="auto"/>
              <w:bottom w:val="single" w:sz="18" w:space="0" w:color="auto"/>
            </w:tcBorders>
            <w:vAlign w:val="center"/>
          </w:tcPr>
          <w:p w14:paraId="257A5BBE" w14:textId="77777777" w:rsidR="002C67F5" w:rsidRPr="00A90998" w:rsidRDefault="002C67F5" w:rsidP="005C25FB">
            <w:pPr>
              <w:spacing w:line="360" w:lineRule="auto"/>
              <w:jc w:val="center"/>
              <w:rPr>
                <w:rFonts w:eastAsia="Calibri"/>
                <w:b/>
                <w:lang w:val="en-US"/>
              </w:rPr>
            </w:pPr>
            <w:proofErr w:type="spellStart"/>
            <w:r w:rsidRPr="00A90998">
              <w:rPr>
                <w:rFonts w:eastAsia="Calibri"/>
                <w:b/>
              </w:rPr>
              <w:t>Άντρες</w:t>
            </w:r>
            <w:proofErr w:type="spellEnd"/>
            <w:r w:rsidRPr="00A90998">
              <w:rPr>
                <w:rFonts w:eastAsia="Calibri"/>
                <w:b/>
                <w:lang w:val="en-US"/>
              </w:rPr>
              <w:t xml:space="preserve"> (N=</w:t>
            </w:r>
            <w:r w:rsidR="005C25FB">
              <w:rPr>
                <w:rFonts w:eastAsia="Calibri"/>
                <w:b/>
              </w:rPr>
              <w:t>180</w:t>
            </w:r>
            <w:r w:rsidRPr="00A90998">
              <w:rPr>
                <w:rFonts w:eastAsia="Calibri"/>
                <w:b/>
                <w:lang w:val="en-US"/>
              </w:rPr>
              <w:t>)</w:t>
            </w:r>
          </w:p>
        </w:tc>
        <w:tc>
          <w:tcPr>
            <w:tcW w:w="2263" w:type="dxa"/>
            <w:tcBorders>
              <w:top w:val="single" w:sz="4" w:space="0" w:color="auto"/>
              <w:bottom w:val="single" w:sz="18" w:space="0" w:color="auto"/>
            </w:tcBorders>
            <w:vAlign w:val="center"/>
          </w:tcPr>
          <w:p w14:paraId="621E532D" w14:textId="77777777" w:rsidR="002C67F5" w:rsidRPr="00A90998" w:rsidRDefault="002C67F5" w:rsidP="005C25FB">
            <w:pPr>
              <w:spacing w:line="360" w:lineRule="auto"/>
              <w:jc w:val="center"/>
              <w:rPr>
                <w:rFonts w:eastAsia="Calibri"/>
                <w:b/>
                <w:lang w:val="en-US"/>
              </w:rPr>
            </w:pPr>
            <w:proofErr w:type="spellStart"/>
            <w:r w:rsidRPr="00A90998">
              <w:rPr>
                <w:rFonts w:eastAsia="Calibri"/>
                <w:b/>
              </w:rPr>
              <w:t>Γυν</w:t>
            </w:r>
            <w:proofErr w:type="spellEnd"/>
            <w:r w:rsidRPr="00A90998">
              <w:rPr>
                <w:rFonts w:eastAsia="Calibri"/>
                <w:b/>
              </w:rPr>
              <w:t>αίκες</w:t>
            </w:r>
            <w:r w:rsidRPr="00A90998">
              <w:rPr>
                <w:rFonts w:eastAsia="Calibri"/>
                <w:b/>
                <w:lang w:val="en-US"/>
              </w:rPr>
              <w:t xml:space="preserve"> (N=</w:t>
            </w:r>
            <w:r w:rsidR="005C25FB">
              <w:rPr>
                <w:rFonts w:eastAsia="Calibri"/>
                <w:b/>
              </w:rPr>
              <w:t>180</w:t>
            </w:r>
            <w:r w:rsidRPr="00A90998">
              <w:rPr>
                <w:rFonts w:eastAsia="Calibri"/>
                <w:b/>
                <w:lang w:val="en-US"/>
              </w:rPr>
              <w:t>)</w:t>
            </w:r>
          </w:p>
        </w:tc>
        <w:tc>
          <w:tcPr>
            <w:tcW w:w="2051" w:type="dxa"/>
            <w:tcBorders>
              <w:top w:val="single" w:sz="4" w:space="0" w:color="auto"/>
              <w:bottom w:val="single" w:sz="18" w:space="0" w:color="auto"/>
            </w:tcBorders>
          </w:tcPr>
          <w:p w14:paraId="4069C64E" w14:textId="77777777" w:rsidR="002C67F5" w:rsidRPr="00A90998" w:rsidRDefault="002C67F5" w:rsidP="002E3503">
            <w:pPr>
              <w:spacing w:line="360" w:lineRule="auto"/>
              <w:jc w:val="center"/>
              <w:rPr>
                <w:rFonts w:eastAsia="Calibri"/>
                <w:b/>
                <w:lang w:val="en-US"/>
              </w:rPr>
            </w:pPr>
          </w:p>
        </w:tc>
        <w:tc>
          <w:tcPr>
            <w:tcW w:w="1102" w:type="dxa"/>
            <w:tcBorders>
              <w:top w:val="single" w:sz="4" w:space="0" w:color="auto"/>
              <w:bottom w:val="single" w:sz="18" w:space="0" w:color="auto"/>
            </w:tcBorders>
            <w:vAlign w:val="center"/>
          </w:tcPr>
          <w:p w14:paraId="34E979D3" w14:textId="77777777" w:rsidR="002C67F5" w:rsidRPr="00A90998" w:rsidRDefault="002C67F5" w:rsidP="002E3503">
            <w:pPr>
              <w:spacing w:line="360" w:lineRule="auto"/>
              <w:jc w:val="center"/>
              <w:rPr>
                <w:rFonts w:eastAsia="Calibri"/>
                <w:b/>
                <w:lang w:val="en-US"/>
              </w:rPr>
            </w:pPr>
          </w:p>
        </w:tc>
      </w:tr>
      <w:tr w:rsidR="002C67F5" w:rsidRPr="00A90998" w14:paraId="02A69FC7" w14:textId="77777777" w:rsidTr="009A2D05">
        <w:trPr>
          <w:jc w:val="center"/>
        </w:trPr>
        <w:tc>
          <w:tcPr>
            <w:tcW w:w="803" w:type="dxa"/>
            <w:gridSpan w:val="2"/>
            <w:tcBorders>
              <w:top w:val="single" w:sz="4" w:space="0" w:color="auto"/>
            </w:tcBorders>
            <w:vAlign w:val="center"/>
          </w:tcPr>
          <w:p w14:paraId="437D3ACD" w14:textId="77777777" w:rsidR="002C67F5" w:rsidRPr="00A90998" w:rsidRDefault="002C67F5" w:rsidP="002E3503">
            <w:pPr>
              <w:spacing w:line="360" w:lineRule="auto"/>
              <w:jc w:val="center"/>
              <w:rPr>
                <w:rFonts w:eastAsia="Calibri"/>
                <w:b/>
                <w:lang w:val="en-US"/>
              </w:rPr>
            </w:pPr>
          </w:p>
        </w:tc>
        <w:tc>
          <w:tcPr>
            <w:tcW w:w="2010" w:type="dxa"/>
            <w:tcBorders>
              <w:top w:val="single" w:sz="4" w:space="0" w:color="auto"/>
            </w:tcBorders>
            <w:vAlign w:val="center"/>
          </w:tcPr>
          <w:p w14:paraId="3645A104" w14:textId="77777777" w:rsidR="002C67F5" w:rsidRPr="00754266" w:rsidRDefault="002C67F5" w:rsidP="002E3503">
            <w:pPr>
              <w:spacing w:line="360" w:lineRule="auto"/>
              <w:jc w:val="center"/>
              <w:rPr>
                <w:rFonts w:eastAsia="Calibri"/>
                <w:lang w:val="en-US"/>
              </w:rPr>
            </w:pPr>
            <w:r>
              <w:rPr>
                <w:rFonts w:eastAsia="Calibri"/>
                <w:b/>
                <w:lang w:val="en-US"/>
              </w:rPr>
              <w:t>Mean Range</w:t>
            </w:r>
          </w:p>
        </w:tc>
        <w:tc>
          <w:tcPr>
            <w:tcW w:w="2263" w:type="dxa"/>
            <w:tcBorders>
              <w:top w:val="single" w:sz="4" w:space="0" w:color="auto"/>
            </w:tcBorders>
            <w:vAlign w:val="center"/>
          </w:tcPr>
          <w:p w14:paraId="283EE86D" w14:textId="77777777" w:rsidR="002C67F5" w:rsidRPr="00754266" w:rsidRDefault="002C67F5" w:rsidP="002E3503">
            <w:pPr>
              <w:spacing w:line="360" w:lineRule="auto"/>
              <w:jc w:val="center"/>
              <w:rPr>
                <w:rFonts w:eastAsia="Calibri"/>
                <w:lang w:val="en-US"/>
              </w:rPr>
            </w:pPr>
            <w:r>
              <w:rPr>
                <w:rFonts w:eastAsia="Calibri"/>
                <w:b/>
                <w:lang w:val="en-US"/>
              </w:rPr>
              <w:t>Mean Range</w:t>
            </w:r>
          </w:p>
        </w:tc>
        <w:tc>
          <w:tcPr>
            <w:tcW w:w="2051" w:type="dxa"/>
            <w:tcBorders>
              <w:top w:val="single" w:sz="4" w:space="0" w:color="auto"/>
            </w:tcBorders>
          </w:tcPr>
          <w:p w14:paraId="10676C80" w14:textId="77777777" w:rsidR="002C67F5" w:rsidRPr="00A90998" w:rsidRDefault="002C67F5" w:rsidP="002E3503">
            <w:pPr>
              <w:spacing w:line="360" w:lineRule="auto"/>
              <w:jc w:val="center"/>
              <w:rPr>
                <w:rFonts w:eastAsia="Calibri"/>
                <w:b/>
                <w:lang w:val="en-US"/>
              </w:rPr>
            </w:pPr>
            <w:r w:rsidRPr="00A90998">
              <w:rPr>
                <w:rFonts w:eastAsia="Calibri"/>
                <w:b/>
                <w:lang w:val="en-US"/>
              </w:rPr>
              <w:t xml:space="preserve">Mann-Whitney </w:t>
            </w:r>
            <w:r w:rsidRPr="00A90998">
              <w:rPr>
                <w:rFonts w:eastAsia="Calibri"/>
                <w:b/>
                <w:i/>
                <w:lang w:val="en-US"/>
              </w:rPr>
              <w:t>U</w:t>
            </w:r>
          </w:p>
        </w:tc>
        <w:tc>
          <w:tcPr>
            <w:tcW w:w="1102" w:type="dxa"/>
            <w:tcBorders>
              <w:top w:val="single" w:sz="4" w:space="0" w:color="auto"/>
            </w:tcBorders>
            <w:vAlign w:val="center"/>
          </w:tcPr>
          <w:p w14:paraId="6ABA283D" w14:textId="77777777" w:rsidR="002C67F5" w:rsidRPr="00A90998" w:rsidRDefault="002C67F5" w:rsidP="002E3503">
            <w:pPr>
              <w:spacing w:line="360" w:lineRule="auto"/>
              <w:jc w:val="center"/>
              <w:rPr>
                <w:rFonts w:eastAsia="Calibri"/>
                <w:b/>
                <w:lang w:val="en-US"/>
              </w:rPr>
            </w:pPr>
            <w:r w:rsidRPr="00A90998">
              <w:rPr>
                <w:rFonts w:eastAsia="Calibri"/>
                <w:b/>
                <w:i/>
                <w:lang w:val="en-US"/>
              </w:rPr>
              <w:t>P</w:t>
            </w:r>
            <w:r w:rsidRPr="00A90998">
              <w:rPr>
                <w:rFonts w:eastAsia="Calibri"/>
                <w:b/>
                <w:lang w:val="en-US"/>
              </w:rPr>
              <w:t xml:space="preserve"> level</w:t>
            </w:r>
          </w:p>
        </w:tc>
      </w:tr>
      <w:tr w:rsidR="009A2D05" w:rsidRPr="0033709A" w14:paraId="315C81B4" w14:textId="77777777" w:rsidTr="009A2D05">
        <w:trPr>
          <w:jc w:val="center"/>
        </w:trPr>
        <w:tc>
          <w:tcPr>
            <w:tcW w:w="803" w:type="dxa"/>
            <w:gridSpan w:val="2"/>
            <w:tcBorders>
              <w:top w:val="single" w:sz="4" w:space="0" w:color="auto"/>
            </w:tcBorders>
            <w:vAlign w:val="center"/>
          </w:tcPr>
          <w:p w14:paraId="4D4C532F" w14:textId="77777777" w:rsidR="009A2D05" w:rsidRPr="0084428C" w:rsidRDefault="009A2D05" w:rsidP="002E3503">
            <w:pPr>
              <w:spacing w:line="360" w:lineRule="auto"/>
              <w:rPr>
                <w:rFonts w:eastAsia="Calibri"/>
                <w:b/>
                <w:lang w:val="en-US"/>
              </w:rPr>
            </w:pPr>
            <w:r>
              <w:rPr>
                <w:rFonts w:eastAsia="Calibri"/>
                <w:b/>
                <w:lang w:val="en-US"/>
              </w:rPr>
              <w:t>Q1</w:t>
            </w:r>
          </w:p>
        </w:tc>
        <w:tc>
          <w:tcPr>
            <w:tcW w:w="2010" w:type="dxa"/>
            <w:tcBorders>
              <w:top w:val="single" w:sz="4" w:space="0" w:color="auto"/>
            </w:tcBorders>
            <w:vAlign w:val="center"/>
          </w:tcPr>
          <w:p w14:paraId="04200D45" w14:textId="77777777" w:rsidR="009A2D05" w:rsidRPr="00B5480E" w:rsidRDefault="009A2D05" w:rsidP="002E3503">
            <w:pPr>
              <w:spacing w:line="360" w:lineRule="auto"/>
              <w:jc w:val="center"/>
              <w:rPr>
                <w:rFonts w:eastAsia="Calibri"/>
              </w:rPr>
            </w:pPr>
            <w:r w:rsidRPr="005C25FB">
              <w:rPr>
                <w:rFonts w:ascii="Arial" w:hAnsi="Arial" w:cs="Arial"/>
                <w:sz w:val="18"/>
                <w:szCs w:val="18"/>
              </w:rPr>
              <w:t>177.79</w:t>
            </w:r>
          </w:p>
        </w:tc>
        <w:tc>
          <w:tcPr>
            <w:tcW w:w="2263" w:type="dxa"/>
            <w:tcBorders>
              <w:top w:val="single" w:sz="4" w:space="0" w:color="auto"/>
            </w:tcBorders>
            <w:vAlign w:val="center"/>
          </w:tcPr>
          <w:p w14:paraId="5CA9B65A" w14:textId="77777777" w:rsidR="009A2D05" w:rsidRPr="00B5480E" w:rsidRDefault="009A2D05" w:rsidP="002E3503">
            <w:pPr>
              <w:spacing w:line="360" w:lineRule="auto"/>
              <w:jc w:val="center"/>
              <w:rPr>
                <w:rFonts w:eastAsia="Calibri"/>
              </w:rPr>
            </w:pPr>
            <w:r w:rsidRPr="005C25FB">
              <w:rPr>
                <w:rFonts w:ascii="Arial" w:hAnsi="Arial" w:cs="Arial"/>
                <w:sz w:val="18"/>
                <w:szCs w:val="18"/>
              </w:rPr>
              <w:t>183.21</w:t>
            </w:r>
          </w:p>
        </w:tc>
        <w:tc>
          <w:tcPr>
            <w:tcW w:w="2051" w:type="dxa"/>
            <w:tcBorders>
              <w:top w:val="single" w:sz="4" w:space="0" w:color="auto"/>
            </w:tcBorders>
            <w:vAlign w:val="center"/>
          </w:tcPr>
          <w:p w14:paraId="75C593ED" w14:textId="77777777" w:rsidR="009A2D05" w:rsidRPr="0033709A" w:rsidRDefault="009A2D05" w:rsidP="002E3503">
            <w:pPr>
              <w:spacing w:line="360" w:lineRule="auto"/>
              <w:jc w:val="center"/>
              <w:rPr>
                <w:rFonts w:eastAsia="Calibri"/>
              </w:rPr>
            </w:pPr>
            <w:r w:rsidRPr="00F36307">
              <w:rPr>
                <w:rFonts w:eastAsia="Calibri"/>
              </w:rPr>
              <w:t>15711.500</w:t>
            </w:r>
          </w:p>
        </w:tc>
        <w:tc>
          <w:tcPr>
            <w:tcW w:w="1102" w:type="dxa"/>
            <w:tcBorders>
              <w:top w:val="single" w:sz="4" w:space="0" w:color="auto"/>
            </w:tcBorders>
            <w:vAlign w:val="center"/>
          </w:tcPr>
          <w:p w14:paraId="37C8E741" w14:textId="77777777" w:rsidR="009A2D05" w:rsidRPr="00C42F3D" w:rsidRDefault="009A2D05" w:rsidP="002E3503">
            <w:pPr>
              <w:spacing w:line="360" w:lineRule="auto"/>
              <w:jc w:val="center"/>
              <w:rPr>
                <w:rFonts w:eastAsia="Calibri"/>
              </w:rPr>
            </w:pPr>
            <w:r w:rsidRPr="00F36307">
              <w:rPr>
                <w:rFonts w:eastAsia="Calibri"/>
              </w:rPr>
              <w:t>.505</w:t>
            </w:r>
          </w:p>
        </w:tc>
      </w:tr>
      <w:tr w:rsidR="009A2D05" w:rsidRPr="0033709A" w14:paraId="0F4E8408" w14:textId="77777777" w:rsidTr="009A2D05">
        <w:trPr>
          <w:jc w:val="center"/>
        </w:trPr>
        <w:tc>
          <w:tcPr>
            <w:tcW w:w="803" w:type="dxa"/>
            <w:gridSpan w:val="2"/>
            <w:vAlign w:val="center"/>
          </w:tcPr>
          <w:p w14:paraId="44E8AF1B" w14:textId="77777777" w:rsidR="009A2D05" w:rsidRPr="0084428C" w:rsidRDefault="009A2D05" w:rsidP="002E3503">
            <w:pPr>
              <w:spacing w:line="360" w:lineRule="auto"/>
              <w:rPr>
                <w:rFonts w:eastAsia="Calibri"/>
                <w:b/>
                <w:lang w:val="en-US"/>
              </w:rPr>
            </w:pPr>
            <w:r>
              <w:rPr>
                <w:rFonts w:eastAsia="Calibri"/>
                <w:b/>
                <w:lang w:val="en-US"/>
              </w:rPr>
              <w:t>Q2</w:t>
            </w:r>
          </w:p>
        </w:tc>
        <w:tc>
          <w:tcPr>
            <w:tcW w:w="2010" w:type="dxa"/>
            <w:vAlign w:val="center"/>
          </w:tcPr>
          <w:p w14:paraId="2D927B0C" w14:textId="77777777" w:rsidR="009A2D05" w:rsidRPr="00B5480E" w:rsidRDefault="009A2D05" w:rsidP="002E3503">
            <w:pPr>
              <w:spacing w:line="360" w:lineRule="auto"/>
              <w:jc w:val="center"/>
              <w:rPr>
                <w:rFonts w:eastAsia="Calibri"/>
              </w:rPr>
            </w:pPr>
            <w:r w:rsidRPr="005C25FB">
              <w:rPr>
                <w:rFonts w:ascii="Arial" w:hAnsi="Arial" w:cs="Arial"/>
                <w:sz w:val="18"/>
                <w:szCs w:val="18"/>
              </w:rPr>
              <w:t>174.40</w:t>
            </w:r>
          </w:p>
        </w:tc>
        <w:tc>
          <w:tcPr>
            <w:tcW w:w="2263" w:type="dxa"/>
            <w:vAlign w:val="center"/>
          </w:tcPr>
          <w:p w14:paraId="678745D6" w14:textId="77777777" w:rsidR="009A2D05" w:rsidRPr="00B5480E" w:rsidRDefault="009A2D05" w:rsidP="002E3503">
            <w:pPr>
              <w:spacing w:line="360" w:lineRule="auto"/>
              <w:jc w:val="center"/>
              <w:rPr>
                <w:rFonts w:eastAsia="Calibri"/>
              </w:rPr>
            </w:pPr>
            <w:r w:rsidRPr="005C25FB">
              <w:rPr>
                <w:rFonts w:ascii="Arial" w:hAnsi="Arial" w:cs="Arial"/>
                <w:sz w:val="18"/>
                <w:szCs w:val="18"/>
              </w:rPr>
              <w:t>186.60</w:t>
            </w:r>
          </w:p>
        </w:tc>
        <w:tc>
          <w:tcPr>
            <w:tcW w:w="2051" w:type="dxa"/>
            <w:vAlign w:val="center"/>
          </w:tcPr>
          <w:p w14:paraId="4B8F11B6" w14:textId="77777777" w:rsidR="009A2D05" w:rsidRPr="0033709A" w:rsidRDefault="009A2D05" w:rsidP="002E3503">
            <w:pPr>
              <w:spacing w:line="360" w:lineRule="auto"/>
              <w:jc w:val="center"/>
              <w:rPr>
                <w:rFonts w:eastAsia="Calibri"/>
              </w:rPr>
            </w:pPr>
            <w:r w:rsidRPr="00F36307">
              <w:rPr>
                <w:rFonts w:eastAsia="Calibri"/>
              </w:rPr>
              <w:t>15102.000</w:t>
            </w:r>
          </w:p>
        </w:tc>
        <w:tc>
          <w:tcPr>
            <w:tcW w:w="1102" w:type="dxa"/>
            <w:vAlign w:val="center"/>
          </w:tcPr>
          <w:p w14:paraId="4AA74D55" w14:textId="77777777" w:rsidR="009A2D05" w:rsidRPr="00C42F3D" w:rsidRDefault="009A2D05" w:rsidP="002E3503">
            <w:pPr>
              <w:spacing w:line="360" w:lineRule="auto"/>
              <w:jc w:val="center"/>
              <w:rPr>
                <w:rFonts w:eastAsia="Calibri"/>
              </w:rPr>
            </w:pPr>
            <w:r w:rsidRPr="00F36307">
              <w:rPr>
                <w:rFonts w:eastAsia="Calibri"/>
              </w:rPr>
              <w:t>.059</w:t>
            </w:r>
          </w:p>
        </w:tc>
      </w:tr>
      <w:tr w:rsidR="009A2D05" w:rsidRPr="0033709A" w14:paraId="4937791E" w14:textId="77777777" w:rsidTr="009A2D05">
        <w:trPr>
          <w:jc w:val="center"/>
        </w:trPr>
        <w:tc>
          <w:tcPr>
            <w:tcW w:w="803" w:type="dxa"/>
            <w:gridSpan w:val="2"/>
            <w:vAlign w:val="center"/>
          </w:tcPr>
          <w:p w14:paraId="522BEBB1" w14:textId="77777777" w:rsidR="009A2D05" w:rsidRPr="0084428C" w:rsidRDefault="009A2D05" w:rsidP="002E3503">
            <w:pPr>
              <w:spacing w:line="360" w:lineRule="auto"/>
              <w:rPr>
                <w:rFonts w:eastAsia="Calibri"/>
                <w:b/>
                <w:lang w:val="en-US"/>
              </w:rPr>
            </w:pPr>
            <w:r>
              <w:rPr>
                <w:rFonts w:eastAsia="Calibri"/>
                <w:b/>
                <w:lang w:val="en-US"/>
              </w:rPr>
              <w:t>Q2b</w:t>
            </w:r>
          </w:p>
        </w:tc>
        <w:tc>
          <w:tcPr>
            <w:tcW w:w="2010" w:type="dxa"/>
            <w:vAlign w:val="center"/>
          </w:tcPr>
          <w:p w14:paraId="79FDB565" w14:textId="77777777" w:rsidR="009A2D05" w:rsidRPr="00B5480E" w:rsidRDefault="009A2D05" w:rsidP="002E3503">
            <w:pPr>
              <w:spacing w:line="360" w:lineRule="auto"/>
              <w:jc w:val="center"/>
              <w:rPr>
                <w:rFonts w:eastAsia="Calibri"/>
              </w:rPr>
            </w:pPr>
            <w:r w:rsidRPr="005C25FB">
              <w:rPr>
                <w:rFonts w:ascii="Arial" w:hAnsi="Arial" w:cs="Arial"/>
                <w:sz w:val="18"/>
                <w:szCs w:val="18"/>
              </w:rPr>
              <w:t>181.14</w:t>
            </w:r>
          </w:p>
        </w:tc>
        <w:tc>
          <w:tcPr>
            <w:tcW w:w="2263" w:type="dxa"/>
            <w:vAlign w:val="center"/>
          </w:tcPr>
          <w:p w14:paraId="1524EA91" w14:textId="77777777" w:rsidR="009A2D05" w:rsidRPr="00B5480E" w:rsidRDefault="009A2D05" w:rsidP="002E3503">
            <w:pPr>
              <w:spacing w:line="360" w:lineRule="auto"/>
              <w:jc w:val="center"/>
              <w:rPr>
                <w:rFonts w:eastAsia="Calibri"/>
              </w:rPr>
            </w:pPr>
            <w:r w:rsidRPr="005C25FB">
              <w:rPr>
                <w:rFonts w:ascii="Arial" w:hAnsi="Arial" w:cs="Arial"/>
                <w:sz w:val="18"/>
                <w:szCs w:val="18"/>
              </w:rPr>
              <w:t>179.86</w:t>
            </w:r>
          </w:p>
        </w:tc>
        <w:tc>
          <w:tcPr>
            <w:tcW w:w="2051" w:type="dxa"/>
            <w:vAlign w:val="center"/>
          </w:tcPr>
          <w:p w14:paraId="44476E5A" w14:textId="77777777" w:rsidR="009A2D05" w:rsidRPr="0033709A" w:rsidRDefault="009A2D05" w:rsidP="002E3503">
            <w:pPr>
              <w:spacing w:line="360" w:lineRule="auto"/>
              <w:jc w:val="center"/>
              <w:rPr>
                <w:rFonts w:eastAsia="Calibri"/>
              </w:rPr>
            </w:pPr>
            <w:r w:rsidRPr="00F36307">
              <w:rPr>
                <w:rFonts w:eastAsia="Calibri"/>
              </w:rPr>
              <w:t>16085.000</w:t>
            </w:r>
          </w:p>
        </w:tc>
        <w:tc>
          <w:tcPr>
            <w:tcW w:w="1102" w:type="dxa"/>
            <w:vAlign w:val="center"/>
          </w:tcPr>
          <w:p w14:paraId="03615CF3" w14:textId="77777777" w:rsidR="009A2D05" w:rsidRPr="00C42F3D" w:rsidRDefault="009A2D05" w:rsidP="002E3503">
            <w:pPr>
              <w:spacing w:line="360" w:lineRule="auto"/>
              <w:jc w:val="center"/>
              <w:rPr>
                <w:rFonts w:eastAsia="Calibri"/>
              </w:rPr>
            </w:pPr>
            <w:r w:rsidRPr="00F36307">
              <w:rPr>
                <w:rFonts w:eastAsia="Calibri"/>
              </w:rPr>
              <w:t>.873</w:t>
            </w:r>
          </w:p>
        </w:tc>
      </w:tr>
      <w:tr w:rsidR="009A2D05" w:rsidRPr="0033709A" w14:paraId="16BEFA02" w14:textId="77777777" w:rsidTr="009A2D05">
        <w:trPr>
          <w:jc w:val="center"/>
        </w:trPr>
        <w:tc>
          <w:tcPr>
            <w:tcW w:w="803" w:type="dxa"/>
            <w:gridSpan w:val="2"/>
            <w:vAlign w:val="center"/>
          </w:tcPr>
          <w:p w14:paraId="702E5F7E" w14:textId="77777777" w:rsidR="009A2D05" w:rsidRPr="0084428C" w:rsidRDefault="009A2D05" w:rsidP="002E3503">
            <w:pPr>
              <w:spacing w:line="360" w:lineRule="auto"/>
              <w:rPr>
                <w:rFonts w:eastAsia="Calibri"/>
                <w:b/>
                <w:lang w:val="en-US"/>
              </w:rPr>
            </w:pPr>
            <w:r>
              <w:rPr>
                <w:rFonts w:eastAsia="Calibri"/>
                <w:b/>
                <w:lang w:val="en-US"/>
              </w:rPr>
              <w:t>Q3</w:t>
            </w:r>
          </w:p>
        </w:tc>
        <w:tc>
          <w:tcPr>
            <w:tcW w:w="2010" w:type="dxa"/>
            <w:vAlign w:val="center"/>
          </w:tcPr>
          <w:p w14:paraId="3E125EAF" w14:textId="77777777" w:rsidR="009A2D05" w:rsidRPr="00B5480E" w:rsidRDefault="009A2D05" w:rsidP="002E3503">
            <w:pPr>
              <w:spacing w:line="360" w:lineRule="auto"/>
              <w:jc w:val="center"/>
              <w:rPr>
                <w:rFonts w:eastAsia="Calibri"/>
              </w:rPr>
            </w:pPr>
            <w:r w:rsidRPr="005C25FB">
              <w:rPr>
                <w:rFonts w:ascii="Arial" w:hAnsi="Arial" w:cs="Arial"/>
                <w:sz w:val="18"/>
                <w:szCs w:val="18"/>
              </w:rPr>
              <w:t>179.97</w:t>
            </w:r>
          </w:p>
        </w:tc>
        <w:tc>
          <w:tcPr>
            <w:tcW w:w="2263" w:type="dxa"/>
            <w:vAlign w:val="center"/>
          </w:tcPr>
          <w:p w14:paraId="61C7276E" w14:textId="77777777" w:rsidR="009A2D05" w:rsidRPr="00B5480E" w:rsidRDefault="009A2D05" w:rsidP="002E3503">
            <w:pPr>
              <w:spacing w:line="360" w:lineRule="auto"/>
              <w:jc w:val="center"/>
              <w:rPr>
                <w:rFonts w:eastAsia="Calibri"/>
              </w:rPr>
            </w:pPr>
            <w:r w:rsidRPr="005C25FB">
              <w:rPr>
                <w:rFonts w:ascii="Arial" w:hAnsi="Arial" w:cs="Arial"/>
                <w:sz w:val="18"/>
                <w:szCs w:val="18"/>
              </w:rPr>
              <w:t>181.03</w:t>
            </w:r>
          </w:p>
        </w:tc>
        <w:tc>
          <w:tcPr>
            <w:tcW w:w="2051" w:type="dxa"/>
            <w:vAlign w:val="center"/>
          </w:tcPr>
          <w:p w14:paraId="30408838" w14:textId="77777777" w:rsidR="009A2D05" w:rsidRPr="0033709A" w:rsidRDefault="009A2D05" w:rsidP="002E3503">
            <w:pPr>
              <w:spacing w:line="360" w:lineRule="auto"/>
              <w:jc w:val="center"/>
              <w:rPr>
                <w:rFonts w:eastAsia="Calibri"/>
              </w:rPr>
            </w:pPr>
            <w:r w:rsidRPr="00F36307">
              <w:rPr>
                <w:rFonts w:eastAsia="Calibri"/>
              </w:rPr>
              <w:t>16104.500</w:t>
            </w:r>
          </w:p>
        </w:tc>
        <w:tc>
          <w:tcPr>
            <w:tcW w:w="1102" w:type="dxa"/>
            <w:vAlign w:val="center"/>
          </w:tcPr>
          <w:p w14:paraId="36B69D58" w14:textId="77777777" w:rsidR="009A2D05" w:rsidRPr="00C42F3D" w:rsidRDefault="009A2D05" w:rsidP="002E3503">
            <w:pPr>
              <w:spacing w:line="360" w:lineRule="auto"/>
              <w:jc w:val="center"/>
              <w:rPr>
                <w:rFonts w:eastAsia="Calibri"/>
              </w:rPr>
            </w:pPr>
            <w:r w:rsidRPr="00F36307">
              <w:rPr>
                <w:rFonts w:eastAsia="Calibri"/>
              </w:rPr>
              <w:t>.819</w:t>
            </w:r>
          </w:p>
        </w:tc>
      </w:tr>
      <w:tr w:rsidR="009A2D05" w:rsidRPr="0033709A" w14:paraId="397A9B56" w14:textId="77777777" w:rsidTr="009A2D05">
        <w:trPr>
          <w:jc w:val="center"/>
        </w:trPr>
        <w:tc>
          <w:tcPr>
            <w:tcW w:w="803" w:type="dxa"/>
            <w:gridSpan w:val="2"/>
            <w:vAlign w:val="center"/>
          </w:tcPr>
          <w:p w14:paraId="3789EBAE" w14:textId="77777777" w:rsidR="009A2D05" w:rsidRPr="0084428C" w:rsidRDefault="009A2D05" w:rsidP="002E3503">
            <w:pPr>
              <w:spacing w:line="360" w:lineRule="auto"/>
              <w:rPr>
                <w:rFonts w:eastAsia="Calibri"/>
                <w:b/>
                <w:lang w:val="en-US"/>
              </w:rPr>
            </w:pPr>
            <w:r>
              <w:rPr>
                <w:rFonts w:eastAsia="Calibri"/>
                <w:b/>
                <w:lang w:val="en-US"/>
              </w:rPr>
              <w:t>Q3b</w:t>
            </w:r>
          </w:p>
        </w:tc>
        <w:tc>
          <w:tcPr>
            <w:tcW w:w="2010" w:type="dxa"/>
            <w:vAlign w:val="center"/>
          </w:tcPr>
          <w:p w14:paraId="41233A98" w14:textId="77777777" w:rsidR="009A2D05" w:rsidRPr="00B5480E" w:rsidRDefault="009A2D05" w:rsidP="002E3503">
            <w:pPr>
              <w:spacing w:line="360" w:lineRule="auto"/>
              <w:jc w:val="center"/>
              <w:rPr>
                <w:rFonts w:eastAsia="Calibri"/>
              </w:rPr>
            </w:pPr>
            <w:r w:rsidRPr="005C25FB">
              <w:rPr>
                <w:rFonts w:ascii="Arial" w:hAnsi="Arial" w:cs="Arial"/>
                <w:sz w:val="18"/>
                <w:szCs w:val="18"/>
              </w:rPr>
              <w:t>180.93</w:t>
            </w:r>
          </w:p>
        </w:tc>
        <w:tc>
          <w:tcPr>
            <w:tcW w:w="2263" w:type="dxa"/>
            <w:vAlign w:val="center"/>
          </w:tcPr>
          <w:p w14:paraId="7F8B9E86" w14:textId="77777777" w:rsidR="009A2D05" w:rsidRPr="00B5480E" w:rsidRDefault="009A2D05" w:rsidP="002E3503">
            <w:pPr>
              <w:spacing w:line="360" w:lineRule="auto"/>
              <w:jc w:val="center"/>
              <w:rPr>
                <w:rFonts w:eastAsia="Calibri"/>
              </w:rPr>
            </w:pPr>
            <w:r w:rsidRPr="005C25FB">
              <w:rPr>
                <w:rFonts w:ascii="Arial" w:hAnsi="Arial" w:cs="Arial"/>
                <w:sz w:val="18"/>
                <w:szCs w:val="18"/>
              </w:rPr>
              <w:t>180.07</w:t>
            </w:r>
          </w:p>
        </w:tc>
        <w:tc>
          <w:tcPr>
            <w:tcW w:w="2051" w:type="dxa"/>
            <w:vAlign w:val="center"/>
          </w:tcPr>
          <w:p w14:paraId="2A4D7B8F" w14:textId="77777777" w:rsidR="009A2D05" w:rsidRPr="0033709A" w:rsidRDefault="009A2D05" w:rsidP="002E3503">
            <w:pPr>
              <w:spacing w:line="360" w:lineRule="auto"/>
              <w:jc w:val="center"/>
              <w:rPr>
                <w:rFonts w:eastAsia="Calibri"/>
              </w:rPr>
            </w:pPr>
            <w:r w:rsidRPr="00F36307">
              <w:rPr>
                <w:rFonts w:eastAsia="Calibri"/>
              </w:rPr>
              <w:t>16122.000</w:t>
            </w:r>
          </w:p>
        </w:tc>
        <w:tc>
          <w:tcPr>
            <w:tcW w:w="1102" w:type="dxa"/>
            <w:vAlign w:val="center"/>
          </w:tcPr>
          <w:p w14:paraId="7989E09B" w14:textId="77777777" w:rsidR="009A2D05" w:rsidRPr="00C42F3D" w:rsidRDefault="009A2D05" w:rsidP="002E3503">
            <w:pPr>
              <w:spacing w:line="360" w:lineRule="auto"/>
              <w:jc w:val="center"/>
              <w:rPr>
                <w:rFonts w:eastAsia="Calibri"/>
              </w:rPr>
            </w:pPr>
            <w:r w:rsidRPr="00F36307">
              <w:rPr>
                <w:rFonts w:eastAsia="Calibri"/>
              </w:rPr>
              <w:t>.890</w:t>
            </w:r>
          </w:p>
        </w:tc>
      </w:tr>
      <w:tr w:rsidR="009A2D05" w:rsidRPr="0033709A" w14:paraId="6B16568C" w14:textId="77777777" w:rsidTr="009A2D05">
        <w:trPr>
          <w:jc w:val="center"/>
        </w:trPr>
        <w:tc>
          <w:tcPr>
            <w:tcW w:w="803" w:type="dxa"/>
            <w:gridSpan w:val="2"/>
            <w:vAlign w:val="center"/>
          </w:tcPr>
          <w:p w14:paraId="2FA603FE" w14:textId="77777777" w:rsidR="009A2D05" w:rsidRPr="0084428C" w:rsidRDefault="009A2D05" w:rsidP="002E3503">
            <w:pPr>
              <w:spacing w:line="360" w:lineRule="auto"/>
              <w:rPr>
                <w:rFonts w:eastAsia="Calibri"/>
                <w:b/>
                <w:lang w:val="en-US"/>
              </w:rPr>
            </w:pPr>
            <w:r>
              <w:rPr>
                <w:rFonts w:eastAsia="Calibri"/>
                <w:b/>
                <w:lang w:val="en-US"/>
              </w:rPr>
              <w:t>Q4</w:t>
            </w:r>
          </w:p>
        </w:tc>
        <w:tc>
          <w:tcPr>
            <w:tcW w:w="2010" w:type="dxa"/>
            <w:vAlign w:val="center"/>
          </w:tcPr>
          <w:p w14:paraId="0EF3E145" w14:textId="77777777" w:rsidR="009A2D05" w:rsidRPr="00B5480E" w:rsidRDefault="009A2D05" w:rsidP="002E3503">
            <w:pPr>
              <w:spacing w:line="360" w:lineRule="auto"/>
              <w:jc w:val="center"/>
              <w:rPr>
                <w:rFonts w:eastAsia="Calibri"/>
              </w:rPr>
            </w:pPr>
            <w:r w:rsidRPr="005C25FB">
              <w:rPr>
                <w:rFonts w:ascii="Arial" w:hAnsi="Arial" w:cs="Arial"/>
                <w:sz w:val="18"/>
                <w:szCs w:val="18"/>
              </w:rPr>
              <w:t>181.97</w:t>
            </w:r>
          </w:p>
        </w:tc>
        <w:tc>
          <w:tcPr>
            <w:tcW w:w="2263" w:type="dxa"/>
            <w:vAlign w:val="center"/>
          </w:tcPr>
          <w:p w14:paraId="3D15DE2C" w14:textId="77777777" w:rsidR="009A2D05" w:rsidRPr="00B5480E" w:rsidRDefault="009A2D05" w:rsidP="002E3503">
            <w:pPr>
              <w:spacing w:line="360" w:lineRule="auto"/>
              <w:jc w:val="center"/>
              <w:rPr>
                <w:rFonts w:eastAsia="Calibri"/>
              </w:rPr>
            </w:pPr>
            <w:r w:rsidRPr="005C25FB">
              <w:rPr>
                <w:rFonts w:ascii="Arial" w:hAnsi="Arial" w:cs="Arial"/>
                <w:sz w:val="18"/>
                <w:szCs w:val="18"/>
              </w:rPr>
              <w:t>179.03</w:t>
            </w:r>
          </w:p>
        </w:tc>
        <w:tc>
          <w:tcPr>
            <w:tcW w:w="2051" w:type="dxa"/>
            <w:vAlign w:val="center"/>
          </w:tcPr>
          <w:p w14:paraId="0AF90A1D" w14:textId="77777777" w:rsidR="009A2D05" w:rsidRPr="0033709A" w:rsidRDefault="009A2D05" w:rsidP="002E3503">
            <w:pPr>
              <w:spacing w:line="360" w:lineRule="auto"/>
              <w:jc w:val="center"/>
              <w:rPr>
                <w:rFonts w:eastAsia="Calibri"/>
              </w:rPr>
            </w:pPr>
            <w:r w:rsidRPr="00F36307">
              <w:rPr>
                <w:rFonts w:eastAsia="Calibri"/>
              </w:rPr>
              <w:t>15935.500</w:t>
            </w:r>
          </w:p>
        </w:tc>
        <w:tc>
          <w:tcPr>
            <w:tcW w:w="1102" w:type="dxa"/>
            <w:vAlign w:val="center"/>
          </w:tcPr>
          <w:p w14:paraId="0F05C2FE" w14:textId="77777777" w:rsidR="009A2D05" w:rsidRPr="00C42F3D" w:rsidRDefault="009A2D05" w:rsidP="002E3503">
            <w:pPr>
              <w:spacing w:line="360" w:lineRule="auto"/>
              <w:jc w:val="center"/>
              <w:rPr>
                <w:rFonts w:eastAsia="Calibri"/>
              </w:rPr>
            </w:pPr>
            <w:r w:rsidRPr="00F36307">
              <w:rPr>
                <w:rFonts w:eastAsia="Calibri"/>
              </w:rPr>
              <w:t>.489</w:t>
            </w:r>
          </w:p>
        </w:tc>
      </w:tr>
      <w:tr w:rsidR="009A2D05" w:rsidRPr="0033709A" w14:paraId="72633A5C" w14:textId="77777777" w:rsidTr="009A2D05">
        <w:trPr>
          <w:jc w:val="center"/>
        </w:trPr>
        <w:tc>
          <w:tcPr>
            <w:tcW w:w="803" w:type="dxa"/>
            <w:gridSpan w:val="2"/>
            <w:vAlign w:val="center"/>
          </w:tcPr>
          <w:p w14:paraId="5303359D" w14:textId="77777777" w:rsidR="009A2D05" w:rsidRPr="0084428C" w:rsidRDefault="009A2D05" w:rsidP="002E3503">
            <w:pPr>
              <w:spacing w:line="360" w:lineRule="auto"/>
              <w:rPr>
                <w:rFonts w:eastAsia="Calibri"/>
                <w:b/>
                <w:lang w:val="en-US"/>
              </w:rPr>
            </w:pPr>
            <w:r>
              <w:rPr>
                <w:rFonts w:eastAsia="Calibri"/>
                <w:b/>
                <w:lang w:val="en-US"/>
              </w:rPr>
              <w:t>Q4b</w:t>
            </w:r>
          </w:p>
        </w:tc>
        <w:tc>
          <w:tcPr>
            <w:tcW w:w="2010" w:type="dxa"/>
            <w:vAlign w:val="center"/>
          </w:tcPr>
          <w:p w14:paraId="3D2CB282" w14:textId="77777777" w:rsidR="009A2D05" w:rsidRPr="00B5480E" w:rsidRDefault="009A2D05" w:rsidP="002E3503">
            <w:pPr>
              <w:spacing w:line="360" w:lineRule="auto"/>
              <w:jc w:val="center"/>
              <w:rPr>
                <w:rFonts w:eastAsia="Calibri"/>
              </w:rPr>
            </w:pPr>
            <w:r w:rsidRPr="005C25FB">
              <w:rPr>
                <w:rFonts w:ascii="Arial" w:hAnsi="Arial" w:cs="Arial"/>
                <w:sz w:val="18"/>
                <w:szCs w:val="18"/>
              </w:rPr>
              <w:t>180.96</w:t>
            </w:r>
          </w:p>
        </w:tc>
        <w:tc>
          <w:tcPr>
            <w:tcW w:w="2263" w:type="dxa"/>
            <w:vAlign w:val="center"/>
          </w:tcPr>
          <w:p w14:paraId="76C90355" w14:textId="77777777" w:rsidR="009A2D05" w:rsidRPr="00B5480E" w:rsidRDefault="009A2D05" w:rsidP="002E3503">
            <w:pPr>
              <w:spacing w:line="360" w:lineRule="auto"/>
              <w:jc w:val="center"/>
              <w:rPr>
                <w:rFonts w:eastAsia="Calibri"/>
              </w:rPr>
            </w:pPr>
            <w:r w:rsidRPr="005C25FB">
              <w:rPr>
                <w:rFonts w:ascii="Arial" w:hAnsi="Arial" w:cs="Arial"/>
                <w:sz w:val="18"/>
                <w:szCs w:val="18"/>
              </w:rPr>
              <w:t>180.04</w:t>
            </w:r>
          </w:p>
        </w:tc>
        <w:tc>
          <w:tcPr>
            <w:tcW w:w="2051" w:type="dxa"/>
            <w:vAlign w:val="center"/>
          </w:tcPr>
          <w:p w14:paraId="1891D97B" w14:textId="77777777" w:rsidR="009A2D05" w:rsidRPr="0033709A" w:rsidRDefault="009A2D05" w:rsidP="002E3503">
            <w:pPr>
              <w:spacing w:line="360" w:lineRule="auto"/>
              <w:jc w:val="center"/>
              <w:rPr>
                <w:rFonts w:eastAsia="Calibri"/>
              </w:rPr>
            </w:pPr>
            <w:r w:rsidRPr="00F36307">
              <w:rPr>
                <w:rFonts w:eastAsia="Calibri"/>
              </w:rPr>
              <w:t>16117.000</w:t>
            </w:r>
          </w:p>
        </w:tc>
        <w:tc>
          <w:tcPr>
            <w:tcW w:w="1102" w:type="dxa"/>
            <w:vAlign w:val="center"/>
          </w:tcPr>
          <w:p w14:paraId="2E50F211" w14:textId="77777777" w:rsidR="009A2D05" w:rsidRPr="00C42F3D" w:rsidRDefault="009A2D05" w:rsidP="002E3503">
            <w:pPr>
              <w:spacing w:line="360" w:lineRule="auto"/>
              <w:jc w:val="center"/>
              <w:rPr>
                <w:rFonts w:eastAsia="Calibri"/>
              </w:rPr>
            </w:pPr>
            <w:r w:rsidRPr="00F36307">
              <w:rPr>
                <w:rFonts w:eastAsia="Calibri"/>
              </w:rPr>
              <w:t>.849</w:t>
            </w:r>
          </w:p>
        </w:tc>
      </w:tr>
      <w:tr w:rsidR="009A2D05" w:rsidRPr="0033709A" w14:paraId="5ED1035E" w14:textId="77777777" w:rsidTr="009A2D05">
        <w:trPr>
          <w:jc w:val="center"/>
        </w:trPr>
        <w:tc>
          <w:tcPr>
            <w:tcW w:w="803" w:type="dxa"/>
            <w:gridSpan w:val="2"/>
            <w:vAlign w:val="center"/>
          </w:tcPr>
          <w:p w14:paraId="63C2C080" w14:textId="77777777" w:rsidR="009A2D05" w:rsidRPr="0084428C" w:rsidRDefault="009A2D05" w:rsidP="002E3503">
            <w:pPr>
              <w:spacing w:line="360" w:lineRule="auto"/>
              <w:rPr>
                <w:rFonts w:eastAsia="Calibri"/>
                <w:b/>
                <w:lang w:val="en-US"/>
              </w:rPr>
            </w:pPr>
            <w:r>
              <w:rPr>
                <w:rFonts w:eastAsia="Calibri"/>
                <w:b/>
                <w:lang w:val="en-US"/>
              </w:rPr>
              <w:t>Q5</w:t>
            </w:r>
          </w:p>
        </w:tc>
        <w:tc>
          <w:tcPr>
            <w:tcW w:w="2010" w:type="dxa"/>
            <w:vAlign w:val="center"/>
          </w:tcPr>
          <w:p w14:paraId="415FC9B0" w14:textId="77777777" w:rsidR="009A2D05" w:rsidRPr="00B5480E" w:rsidRDefault="009A2D05" w:rsidP="002E3503">
            <w:pPr>
              <w:spacing w:line="360" w:lineRule="auto"/>
              <w:jc w:val="center"/>
              <w:rPr>
                <w:rFonts w:eastAsia="Calibri"/>
              </w:rPr>
            </w:pPr>
            <w:r w:rsidRPr="005C25FB">
              <w:rPr>
                <w:rFonts w:ascii="Arial" w:hAnsi="Arial" w:cs="Arial"/>
                <w:sz w:val="18"/>
                <w:szCs w:val="18"/>
              </w:rPr>
              <w:t>180.13</w:t>
            </w:r>
          </w:p>
        </w:tc>
        <w:tc>
          <w:tcPr>
            <w:tcW w:w="2263" w:type="dxa"/>
            <w:vAlign w:val="center"/>
          </w:tcPr>
          <w:p w14:paraId="12C940F4" w14:textId="77777777" w:rsidR="009A2D05" w:rsidRPr="00B5480E" w:rsidRDefault="009A2D05" w:rsidP="002E3503">
            <w:pPr>
              <w:spacing w:line="360" w:lineRule="auto"/>
              <w:jc w:val="center"/>
              <w:rPr>
                <w:rFonts w:eastAsia="Calibri"/>
              </w:rPr>
            </w:pPr>
            <w:r w:rsidRPr="005C25FB">
              <w:rPr>
                <w:rFonts w:ascii="Arial" w:hAnsi="Arial" w:cs="Arial"/>
                <w:sz w:val="18"/>
                <w:szCs w:val="18"/>
              </w:rPr>
              <w:t>180.87</w:t>
            </w:r>
          </w:p>
        </w:tc>
        <w:tc>
          <w:tcPr>
            <w:tcW w:w="2051" w:type="dxa"/>
            <w:vAlign w:val="center"/>
          </w:tcPr>
          <w:p w14:paraId="4DCD8637" w14:textId="77777777" w:rsidR="009A2D05" w:rsidRPr="0033709A" w:rsidRDefault="009A2D05" w:rsidP="002E3503">
            <w:pPr>
              <w:spacing w:line="360" w:lineRule="auto"/>
              <w:jc w:val="center"/>
              <w:rPr>
                <w:rFonts w:eastAsia="Calibri"/>
              </w:rPr>
            </w:pPr>
            <w:r w:rsidRPr="00F36307">
              <w:rPr>
                <w:rFonts w:eastAsia="Calibri"/>
              </w:rPr>
              <w:t>16133.000</w:t>
            </w:r>
          </w:p>
        </w:tc>
        <w:tc>
          <w:tcPr>
            <w:tcW w:w="1102" w:type="dxa"/>
            <w:vAlign w:val="center"/>
          </w:tcPr>
          <w:p w14:paraId="60A2C0F3" w14:textId="77777777" w:rsidR="009A2D05" w:rsidRPr="00C42F3D" w:rsidRDefault="009A2D05" w:rsidP="002E3503">
            <w:pPr>
              <w:spacing w:line="360" w:lineRule="auto"/>
              <w:jc w:val="center"/>
              <w:rPr>
                <w:rFonts w:eastAsia="Calibri"/>
              </w:rPr>
            </w:pPr>
            <w:r w:rsidRPr="00F36307">
              <w:rPr>
                <w:rFonts w:eastAsia="Calibri"/>
              </w:rPr>
              <w:t>.928</w:t>
            </w:r>
          </w:p>
        </w:tc>
      </w:tr>
      <w:tr w:rsidR="009A2D05" w:rsidRPr="0033709A" w14:paraId="5AE82169" w14:textId="77777777" w:rsidTr="009A2D05">
        <w:trPr>
          <w:trHeight w:val="445"/>
          <w:jc w:val="center"/>
        </w:trPr>
        <w:tc>
          <w:tcPr>
            <w:tcW w:w="803" w:type="dxa"/>
            <w:gridSpan w:val="2"/>
            <w:vAlign w:val="center"/>
          </w:tcPr>
          <w:p w14:paraId="137B05DE" w14:textId="77777777" w:rsidR="009A2D05" w:rsidRPr="0084428C" w:rsidRDefault="009A2D05" w:rsidP="002E3503">
            <w:pPr>
              <w:spacing w:line="360" w:lineRule="auto"/>
              <w:rPr>
                <w:rFonts w:eastAsia="Calibri"/>
                <w:b/>
                <w:lang w:val="en-US"/>
              </w:rPr>
            </w:pPr>
            <w:r>
              <w:rPr>
                <w:rFonts w:eastAsia="Calibri"/>
                <w:b/>
                <w:lang w:val="en-US"/>
              </w:rPr>
              <w:t>Q5b</w:t>
            </w:r>
          </w:p>
        </w:tc>
        <w:tc>
          <w:tcPr>
            <w:tcW w:w="2010" w:type="dxa"/>
            <w:vAlign w:val="center"/>
          </w:tcPr>
          <w:p w14:paraId="719CCB85" w14:textId="77777777" w:rsidR="009A2D05" w:rsidRPr="00B5480E" w:rsidRDefault="009A2D05" w:rsidP="002E3503">
            <w:pPr>
              <w:spacing w:line="360" w:lineRule="auto"/>
              <w:jc w:val="center"/>
              <w:rPr>
                <w:rFonts w:eastAsia="Calibri"/>
              </w:rPr>
            </w:pPr>
            <w:r w:rsidRPr="005C25FB">
              <w:rPr>
                <w:rFonts w:ascii="Arial" w:hAnsi="Arial" w:cs="Arial"/>
                <w:sz w:val="18"/>
                <w:szCs w:val="18"/>
              </w:rPr>
              <w:t>181.49</w:t>
            </w:r>
          </w:p>
        </w:tc>
        <w:tc>
          <w:tcPr>
            <w:tcW w:w="2263" w:type="dxa"/>
            <w:vAlign w:val="center"/>
          </w:tcPr>
          <w:p w14:paraId="27389E29" w14:textId="77777777" w:rsidR="009A2D05" w:rsidRPr="00B5480E" w:rsidRDefault="009A2D05" w:rsidP="002E3503">
            <w:pPr>
              <w:spacing w:line="360" w:lineRule="auto"/>
              <w:jc w:val="center"/>
              <w:rPr>
                <w:rFonts w:eastAsia="Calibri"/>
              </w:rPr>
            </w:pPr>
            <w:r w:rsidRPr="005C25FB">
              <w:rPr>
                <w:rFonts w:ascii="Arial" w:hAnsi="Arial" w:cs="Arial"/>
                <w:sz w:val="18"/>
                <w:szCs w:val="18"/>
              </w:rPr>
              <w:t>179.51</w:t>
            </w:r>
          </w:p>
        </w:tc>
        <w:tc>
          <w:tcPr>
            <w:tcW w:w="2051" w:type="dxa"/>
            <w:vAlign w:val="center"/>
          </w:tcPr>
          <w:p w14:paraId="421853A6" w14:textId="77777777" w:rsidR="009A2D05" w:rsidRPr="0033709A" w:rsidRDefault="009A2D05" w:rsidP="002E3503">
            <w:pPr>
              <w:spacing w:line="360" w:lineRule="auto"/>
              <w:jc w:val="center"/>
              <w:rPr>
                <w:rFonts w:eastAsia="Calibri"/>
              </w:rPr>
            </w:pPr>
            <w:r w:rsidRPr="00F36307">
              <w:rPr>
                <w:rFonts w:eastAsia="Calibri"/>
              </w:rPr>
              <w:t>1602</w:t>
            </w:r>
            <w:r w:rsidR="00B063E7">
              <w:rPr>
                <w:rFonts w:eastAsia="Calibri"/>
              </w:rPr>
              <w:t>1.00</w:t>
            </w:r>
          </w:p>
        </w:tc>
        <w:tc>
          <w:tcPr>
            <w:tcW w:w="1102" w:type="dxa"/>
            <w:vAlign w:val="center"/>
          </w:tcPr>
          <w:p w14:paraId="3A4DEF75" w14:textId="77777777" w:rsidR="009A2D05" w:rsidRPr="00C42F3D" w:rsidRDefault="009A2D05" w:rsidP="002E3503">
            <w:pPr>
              <w:spacing w:line="360" w:lineRule="auto"/>
              <w:jc w:val="center"/>
              <w:rPr>
                <w:rFonts w:eastAsia="Calibri"/>
              </w:rPr>
            </w:pPr>
            <w:r w:rsidRPr="00F36307">
              <w:rPr>
                <w:rFonts w:eastAsia="Calibri"/>
              </w:rPr>
              <w:t>.794</w:t>
            </w:r>
          </w:p>
        </w:tc>
      </w:tr>
      <w:tr w:rsidR="009A2D05" w:rsidRPr="0033709A" w14:paraId="2B0014C1" w14:textId="77777777" w:rsidTr="009A2D05">
        <w:trPr>
          <w:jc w:val="center"/>
        </w:trPr>
        <w:tc>
          <w:tcPr>
            <w:tcW w:w="735" w:type="dxa"/>
            <w:vAlign w:val="center"/>
          </w:tcPr>
          <w:p w14:paraId="1656A50B" w14:textId="77777777" w:rsidR="009A2D05" w:rsidRDefault="009A2D05" w:rsidP="002E3503">
            <w:pPr>
              <w:spacing w:line="360" w:lineRule="auto"/>
              <w:rPr>
                <w:rFonts w:eastAsia="Calibri"/>
                <w:b/>
                <w:lang w:val="en-US"/>
              </w:rPr>
            </w:pPr>
            <w:r>
              <w:rPr>
                <w:rFonts w:eastAsia="Calibri"/>
                <w:b/>
                <w:lang w:val="en-US"/>
              </w:rPr>
              <w:t>Q6</w:t>
            </w:r>
          </w:p>
        </w:tc>
        <w:tc>
          <w:tcPr>
            <w:tcW w:w="2078" w:type="dxa"/>
            <w:gridSpan w:val="2"/>
            <w:vAlign w:val="center"/>
          </w:tcPr>
          <w:p w14:paraId="1506600E" w14:textId="77777777" w:rsidR="009A2D05" w:rsidRDefault="009A2D05" w:rsidP="002E3503">
            <w:pPr>
              <w:spacing w:line="360" w:lineRule="auto"/>
              <w:jc w:val="center"/>
              <w:rPr>
                <w:rFonts w:eastAsia="Calibri"/>
              </w:rPr>
            </w:pPr>
            <w:r w:rsidRPr="005C25FB">
              <w:rPr>
                <w:rFonts w:ascii="Arial" w:hAnsi="Arial" w:cs="Arial"/>
                <w:sz w:val="18"/>
                <w:szCs w:val="18"/>
              </w:rPr>
              <w:t>177.35</w:t>
            </w:r>
          </w:p>
        </w:tc>
        <w:tc>
          <w:tcPr>
            <w:tcW w:w="2263" w:type="dxa"/>
            <w:vAlign w:val="center"/>
          </w:tcPr>
          <w:p w14:paraId="309FB062" w14:textId="77777777" w:rsidR="009A2D05" w:rsidRDefault="009A2D05" w:rsidP="002E3503">
            <w:pPr>
              <w:spacing w:line="360" w:lineRule="auto"/>
              <w:jc w:val="center"/>
              <w:rPr>
                <w:rFonts w:eastAsia="Calibri"/>
              </w:rPr>
            </w:pPr>
            <w:r w:rsidRPr="005C25FB">
              <w:rPr>
                <w:rFonts w:ascii="Arial" w:hAnsi="Arial" w:cs="Arial"/>
                <w:sz w:val="18"/>
                <w:szCs w:val="18"/>
              </w:rPr>
              <w:t>183.65</w:t>
            </w:r>
          </w:p>
        </w:tc>
        <w:tc>
          <w:tcPr>
            <w:tcW w:w="2051" w:type="dxa"/>
            <w:vAlign w:val="center"/>
          </w:tcPr>
          <w:p w14:paraId="793E7B63" w14:textId="77777777" w:rsidR="009A2D05" w:rsidRDefault="009A2D05" w:rsidP="002E3503">
            <w:pPr>
              <w:spacing w:line="360" w:lineRule="auto"/>
              <w:jc w:val="center"/>
              <w:rPr>
                <w:rFonts w:eastAsia="Calibri"/>
              </w:rPr>
            </w:pPr>
            <w:r w:rsidRPr="00F36307">
              <w:rPr>
                <w:rFonts w:eastAsia="Calibri"/>
              </w:rPr>
              <w:t>15633.000</w:t>
            </w:r>
          </w:p>
        </w:tc>
        <w:tc>
          <w:tcPr>
            <w:tcW w:w="1102" w:type="dxa"/>
            <w:vAlign w:val="center"/>
          </w:tcPr>
          <w:p w14:paraId="6D10725C" w14:textId="77777777" w:rsidR="009A2D05" w:rsidRPr="0033709A" w:rsidRDefault="009A2D05" w:rsidP="002E3503">
            <w:pPr>
              <w:spacing w:line="360" w:lineRule="auto"/>
              <w:jc w:val="center"/>
              <w:rPr>
                <w:rFonts w:eastAsia="Calibri"/>
              </w:rPr>
            </w:pPr>
            <w:r w:rsidRPr="00F36307">
              <w:rPr>
                <w:rFonts w:eastAsia="Calibri"/>
              </w:rPr>
              <w:t>.419</w:t>
            </w:r>
          </w:p>
        </w:tc>
      </w:tr>
      <w:tr w:rsidR="009A2D05" w:rsidRPr="0033709A" w14:paraId="0DEB2D26" w14:textId="77777777" w:rsidTr="009A2D05">
        <w:trPr>
          <w:jc w:val="center"/>
        </w:trPr>
        <w:tc>
          <w:tcPr>
            <w:tcW w:w="735" w:type="dxa"/>
            <w:vAlign w:val="center"/>
          </w:tcPr>
          <w:p w14:paraId="3D290828" w14:textId="77777777" w:rsidR="009A2D05" w:rsidRDefault="009A2D05" w:rsidP="002E3503">
            <w:pPr>
              <w:spacing w:line="360" w:lineRule="auto"/>
              <w:rPr>
                <w:rFonts w:eastAsia="Calibri"/>
                <w:b/>
                <w:lang w:val="en-US"/>
              </w:rPr>
            </w:pPr>
            <w:r>
              <w:rPr>
                <w:rFonts w:eastAsia="Calibri"/>
                <w:b/>
                <w:lang w:val="en-US"/>
              </w:rPr>
              <w:t>Q7</w:t>
            </w:r>
          </w:p>
        </w:tc>
        <w:tc>
          <w:tcPr>
            <w:tcW w:w="2078" w:type="dxa"/>
            <w:gridSpan w:val="2"/>
            <w:vAlign w:val="center"/>
          </w:tcPr>
          <w:p w14:paraId="6A2AAA6A" w14:textId="77777777" w:rsidR="009A2D05" w:rsidRDefault="009A2D05" w:rsidP="002E3503">
            <w:pPr>
              <w:spacing w:line="360" w:lineRule="auto"/>
              <w:jc w:val="center"/>
              <w:rPr>
                <w:rFonts w:eastAsia="Calibri"/>
              </w:rPr>
            </w:pPr>
            <w:r w:rsidRPr="005C25FB">
              <w:rPr>
                <w:rFonts w:ascii="Arial" w:hAnsi="Arial" w:cs="Arial"/>
                <w:sz w:val="18"/>
                <w:szCs w:val="18"/>
              </w:rPr>
              <w:t>177.92</w:t>
            </w:r>
          </w:p>
        </w:tc>
        <w:tc>
          <w:tcPr>
            <w:tcW w:w="2263" w:type="dxa"/>
            <w:vAlign w:val="center"/>
          </w:tcPr>
          <w:p w14:paraId="01D89415" w14:textId="77777777" w:rsidR="009A2D05" w:rsidRDefault="009A2D05" w:rsidP="002E3503">
            <w:pPr>
              <w:spacing w:line="360" w:lineRule="auto"/>
              <w:jc w:val="center"/>
              <w:rPr>
                <w:rFonts w:eastAsia="Calibri"/>
              </w:rPr>
            </w:pPr>
            <w:r w:rsidRPr="005C25FB">
              <w:rPr>
                <w:rFonts w:ascii="Arial" w:hAnsi="Arial" w:cs="Arial"/>
                <w:sz w:val="18"/>
                <w:szCs w:val="18"/>
              </w:rPr>
              <w:t>183.08</w:t>
            </w:r>
          </w:p>
        </w:tc>
        <w:tc>
          <w:tcPr>
            <w:tcW w:w="2051" w:type="dxa"/>
            <w:vAlign w:val="center"/>
          </w:tcPr>
          <w:p w14:paraId="6CB5887F" w14:textId="77777777" w:rsidR="009A2D05" w:rsidRDefault="009A2D05" w:rsidP="002E3503">
            <w:pPr>
              <w:spacing w:line="360" w:lineRule="auto"/>
              <w:jc w:val="center"/>
              <w:rPr>
                <w:rFonts w:eastAsia="Calibri"/>
              </w:rPr>
            </w:pPr>
            <w:r w:rsidRPr="00F36307">
              <w:rPr>
                <w:rFonts w:eastAsia="Calibri"/>
              </w:rPr>
              <w:t>15736.000</w:t>
            </w:r>
          </w:p>
        </w:tc>
        <w:tc>
          <w:tcPr>
            <w:tcW w:w="1102" w:type="dxa"/>
            <w:vAlign w:val="center"/>
          </w:tcPr>
          <w:p w14:paraId="0B426A0D" w14:textId="77777777" w:rsidR="009A2D05" w:rsidRPr="0033709A" w:rsidRDefault="009A2D05" w:rsidP="002E3503">
            <w:pPr>
              <w:spacing w:line="360" w:lineRule="auto"/>
              <w:jc w:val="center"/>
              <w:rPr>
                <w:rFonts w:eastAsia="Calibri"/>
              </w:rPr>
            </w:pPr>
            <w:r w:rsidRPr="00F36307">
              <w:rPr>
                <w:rFonts w:eastAsia="Calibri"/>
              </w:rPr>
              <w:t>.564</w:t>
            </w:r>
          </w:p>
        </w:tc>
      </w:tr>
      <w:tr w:rsidR="00BB5933" w:rsidRPr="0033709A" w14:paraId="5A4BEF6B" w14:textId="77777777" w:rsidTr="009A2D05">
        <w:trPr>
          <w:jc w:val="center"/>
        </w:trPr>
        <w:tc>
          <w:tcPr>
            <w:tcW w:w="735" w:type="dxa"/>
            <w:vAlign w:val="center"/>
          </w:tcPr>
          <w:p w14:paraId="122FB5AB" w14:textId="77777777" w:rsidR="00BB5933" w:rsidRDefault="00BB5933" w:rsidP="002E3503">
            <w:pPr>
              <w:spacing w:line="360" w:lineRule="auto"/>
              <w:rPr>
                <w:rFonts w:eastAsia="Calibri"/>
                <w:b/>
                <w:lang w:val="en-US"/>
              </w:rPr>
            </w:pPr>
            <w:r>
              <w:rPr>
                <w:rFonts w:eastAsia="Calibri"/>
                <w:b/>
                <w:lang w:val="en-US"/>
              </w:rPr>
              <w:t>Q8</w:t>
            </w:r>
          </w:p>
        </w:tc>
        <w:tc>
          <w:tcPr>
            <w:tcW w:w="2078" w:type="dxa"/>
            <w:gridSpan w:val="2"/>
            <w:vAlign w:val="center"/>
          </w:tcPr>
          <w:p w14:paraId="4B5910B3" w14:textId="77777777" w:rsidR="00BB5933" w:rsidRDefault="00BB5933" w:rsidP="002E3503">
            <w:pPr>
              <w:spacing w:line="360" w:lineRule="auto"/>
              <w:jc w:val="center"/>
              <w:rPr>
                <w:rFonts w:eastAsia="Calibri"/>
              </w:rPr>
            </w:pPr>
            <w:r w:rsidRPr="005C25FB">
              <w:rPr>
                <w:rFonts w:ascii="Arial" w:hAnsi="Arial" w:cs="Arial"/>
                <w:sz w:val="18"/>
                <w:szCs w:val="18"/>
              </w:rPr>
              <w:t>183.50</w:t>
            </w:r>
          </w:p>
        </w:tc>
        <w:tc>
          <w:tcPr>
            <w:tcW w:w="2263" w:type="dxa"/>
            <w:vAlign w:val="center"/>
          </w:tcPr>
          <w:p w14:paraId="32E289FB" w14:textId="77777777" w:rsidR="00BB5933" w:rsidRDefault="00BB5933" w:rsidP="002E3503">
            <w:pPr>
              <w:spacing w:line="360" w:lineRule="auto"/>
              <w:jc w:val="center"/>
              <w:rPr>
                <w:rFonts w:eastAsia="Calibri"/>
              </w:rPr>
            </w:pPr>
            <w:r w:rsidRPr="005C25FB">
              <w:rPr>
                <w:rFonts w:ascii="Arial" w:hAnsi="Arial" w:cs="Arial"/>
                <w:sz w:val="18"/>
                <w:szCs w:val="18"/>
              </w:rPr>
              <w:t>177.50</w:t>
            </w:r>
          </w:p>
        </w:tc>
        <w:tc>
          <w:tcPr>
            <w:tcW w:w="2051" w:type="dxa"/>
            <w:vAlign w:val="center"/>
          </w:tcPr>
          <w:p w14:paraId="37D42BB0" w14:textId="77777777" w:rsidR="00BB5933" w:rsidRDefault="00BB5933" w:rsidP="002E3503">
            <w:pPr>
              <w:spacing w:line="360" w:lineRule="auto"/>
              <w:jc w:val="center"/>
              <w:rPr>
                <w:rFonts w:eastAsia="Calibri"/>
              </w:rPr>
            </w:pPr>
            <w:r w:rsidRPr="00F36307">
              <w:rPr>
                <w:rFonts w:eastAsia="Calibri"/>
              </w:rPr>
              <w:t>15660.000</w:t>
            </w:r>
          </w:p>
        </w:tc>
        <w:tc>
          <w:tcPr>
            <w:tcW w:w="1102" w:type="dxa"/>
            <w:vAlign w:val="center"/>
          </w:tcPr>
          <w:p w14:paraId="619CE00B" w14:textId="77777777" w:rsidR="00BB5933" w:rsidRPr="0033709A" w:rsidRDefault="00BB5933" w:rsidP="002E3503">
            <w:pPr>
              <w:spacing w:line="360" w:lineRule="auto"/>
              <w:jc w:val="center"/>
              <w:rPr>
                <w:rFonts w:eastAsia="Calibri"/>
              </w:rPr>
            </w:pPr>
            <w:r w:rsidRPr="00F36307">
              <w:rPr>
                <w:rFonts w:eastAsia="Calibri"/>
              </w:rPr>
              <w:t>.280</w:t>
            </w:r>
          </w:p>
        </w:tc>
      </w:tr>
      <w:tr w:rsidR="00BB5933" w:rsidRPr="0033709A" w14:paraId="7623E445" w14:textId="77777777" w:rsidTr="009A2D05">
        <w:trPr>
          <w:jc w:val="center"/>
        </w:trPr>
        <w:tc>
          <w:tcPr>
            <w:tcW w:w="735" w:type="dxa"/>
            <w:vAlign w:val="center"/>
          </w:tcPr>
          <w:p w14:paraId="2E2CCB84" w14:textId="77777777" w:rsidR="00BB5933" w:rsidRDefault="00BB5933" w:rsidP="002E3503">
            <w:pPr>
              <w:spacing w:line="360" w:lineRule="auto"/>
              <w:rPr>
                <w:rFonts w:eastAsia="Calibri"/>
                <w:b/>
                <w:lang w:val="en-US"/>
              </w:rPr>
            </w:pPr>
            <w:r>
              <w:rPr>
                <w:rFonts w:eastAsia="Calibri"/>
                <w:b/>
                <w:lang w:val="en-US"/>
              </w:rPr>
              <w:t>Q9</w:t>
            </w:r>
          </w:p>
        </w:tc>
        <w:tc>
          <w:tcPr>
            <w:tcW w:w="2078" w:type="dxa"/>
            <w:gridSpan w:val="2"/>
            <w:vAlign w:val="center"/>
          </w:tcPr>
          <w:p w14:paraId="07885329" w14:textId="77777777" w:rsidR="00BB5933" w:rsidRDefault="00BB5933" w:rsidP="002E3503">
            <w:pPr>
              <w:spacing w:line="360" w:lineRule="auto"/>
              <w:jc w:val="center"/>
              <w:rPr>
                <w:rFonts w:eastAsia="Calibri"/>
              </w:rPr>
            </w:pPr>
            <w:r w:rsidRPr="005C25FB">
              <w:rPr>
                <w:rFonts w:ascii="Arial" w:hAnsi="Arial" w:cs="Arial"/>
                <w:sz w:val="18"/>
                <w:szCs w:val="18"/>
              </w:rPr>
              <w:t>179.47</w:t>
            </w:r>
          </w:p>
        </w:tc>
        <w:tc>
          <w:tcPr>
            <w:tcW w:w="2263" w:type="dxa"/>
            <w:vAlign w:val="center"/>
          </w:tcPr>
          <w:p w14:paraId="13EAF4F5" w14:textId="77777777" w:rsidR="00BB5933" w:rsidRDefault="00BB5933" w:rsidP="002E3503">
            <w:pPr>
              <w:spacing w:line="360" w:lineRule="auto"/>
              <w:jc w:val="center"/>
              <w:rPr>
                <w:rFonts w:eastAsia="Calibri"/>
              </w:rPr>
            </w:pPr>
            <w:r w:rsidRPr="005C25FB">
              <w:rPr>
                <w:rFonts w:ascii="Arial" w:hAnsi="Arial" w:cs="Arial"/>
                <w:sz w:val="18"/>
                <w:szCs w:val="18"/>
              </w:rPr>
              <w:t>181.53</w:t>
            </w:r>
          </w:p>
        </w:tc>
        <w:tc>
          <w:tcPr>
            <w:tcW w:w="2051" w:type="dxa"/>
            <w:vAlign w:val="center"/>
          </w:tcPr>
          <w:p w14:paraId="37C42329" w14:textId="77777777" w:rsidR="00BB5933" w:rsidRDefault="00BB5933" w:rsidP="002E3503">
            <w:pPr>
              <w:spacing w:line="360" w:lineRule="auto"/>
              <w:jc w:val="center"/>
              <w:rPr>
                <w:rFonts w:eastAsia="Calibri"/>
              </w:rPr>
            </w:pPr>
            <w:r w:rsidRPr="00F36307">
              <w:rPr>
                <w:rFonts w:eastAsia="Calibri"/>
              </w:rPr>
              <w:t>16014.000</w:t>
            </w:r>
          </w:p>
        </w:tc>
        <w:tc>
          <w:tcPr>
            <w:tcW w:w="1102" w:type="dxa"/>
            <w:vAlign w:val="center"/>
          </w:tcPr>
          <w:p w14:paraId="7A85B2A9" w14:textId="77777777" w:rsidR="00BB5933" w:rsidRPr="0033709A" w:rsidRDefault="00BB5933" w:rsidP="002E3503">
            <w:pPr>
              <w:spacing w:line="360" w:lineRule="auto"/>
              <w:jc w:val="center"/>
              <w:rPr>
                <w:rFonts w:eastAsia="Calibri"/>
              </w:rPr>
            </w:pPr>
            <w:r w:rsidRPr="00F36307">
              <w:rPr>
                <w:rFonts w:eastAsia="Calibri"/>
              </w:rPr>
              <w:t>.791</w:t>
            </w:r>
          </w:p>
        </w:tc>
      </w:tr>
      <w:tr w:rsidR="00BB5933" w:rsidRPr="0033709A" w14:paraId="6D818241" w14:textId="77777777" w:rsidTr="009A2D05">
        <w:trPr>
          <w:jc w:val="center"/>
        </w:trPr>
        <w:tc>
          <w:tcPr>
            <w:tcW w:w="803" w:type="dxa"/>
            <w:gridSpan w:val="2"/>
            <w:tcBorders>
              <w:bottom w:val="single" w:sz="4" w:space="0" w:color="auto"/>
            </w:tcBorders>
            <w:vAlign w:val="center"/>
          </w:tcPr>
          <w:p w14:paraId="59F9140A" w14:textId="77777777" w:rsidR="00BB5933" w:rsidRPr="0084428C" w:rsidRDefault="00BB5933" w:rsidP="002E3503">
            <w:pPr>
              <w:spacing w:line="360" w:lineRule="auto"/>
              <w:rPr>
                <w:rFonts w:eastAsia="Calibri"/>
                <w:b/>
                <w:lang w:val="en-US"/>
              </w:rPr>
            </w:pPr>
            <w:r>
              <w:rPr>
                <w:rFonts w:eastAsia="Calibri"/>
                <w:b/>
                <w:lang w:val="en-US"/>
              </w:rPr>
              <w:t>Q11</w:t>
            </w:r>
          </w:p>
        </w:tc>
        <w:tc>
          <w:tcPr>
            <w:tcW w:w="2010" w:type="dxa"/>
            <w:tcBorders>
              <w:bottom w:val="single" w:sz="4" w:space="0" w:color="auto"/>
            </w:tcBorders>
            <w:vAlign w:val="center"/>
          </w:tcPr>
          <w:p w14:paraId="4382AFE8" w14:textId="77777777" w:rsidR="00BB5933" w:rsidRPr="00B5480E" w:rsidRDefault="00BB5933" w:rsidP="002E3503">
            <w:pPr>
              <w:spacing w:line="360" w:lineRule="auto"/>
              <w:jc w:val="center"/>
              <w:rPr>
                <w:rFonts w:eastAsia="Calibri"/>
              </w:rPr>
            </w:pPr>
            <w:r w:rsidRPr="005C25FB">
              <w:rPr>
                <w:rFonts w:ascii="Arial" w:hAnsi="Arial" w:cs="Arial"/>
                <w:sz w:val="18"/>
                <w:szCs w:val="18"/>
              </w:rPr>
              <w:t>184.99</w:t>
            </w:r>
          </w:p>
        </w:tc>
        <w:tc>
          <w:tcPr>
            <w:tcW w:w="2263" w:type="dxa"/>
            <w:tcBorders>
              <w:bottom w:val="single" w:sz="4" w:space="0" w:color="auto"/>
            </w:tcBorders>
            <w:vAlign w:val="center"/>
          </w:tcPr>
          <w:p w14:paraId="07A31CD2" w14:textId="77777777" w:rsidR="00BB5933" w:rsidRPr="00B5480E" w:rsidRDefault="00BB5933" w:rsidP="002E3503">
            <w:pPr>
              <w:spacing w:line="360" w:lineRule="auto"/>
              <w:jc w:val="center"/>
              <w:rPr>
                <w:rFonts w:eastAsia="Calibri"/>
              </w:rPr>
            </w:pPr>
            <w:r w:rsidRPr="005C25FB">
              <w:rPr>
                <w:rFonts w:ascii="Arial" w:hAnsi="Arial" w:cs="Arial"/>
                <w:sz w:val="18"/>
                <w:szCs w:val="18"/>
              </w:rPr>
              <w:t>176.01</w:t>
            </w:r>
          </w:p>
        </w:tc>
        <w:tc>
          <w:tcPr>
            <w:tcW w:w="2051" w:type="dxa"/>
            <w:tcBorders>
              <w:bottom w:val="single" w:sz="4" w:space="0" w:color="auto"/>
            </w:tcBorders>
            <w:vAlign w:val="center"/>
          </w:tcPr>
          <w:p w14:paraId="179546FC" w14:textId="77777777" w:rsidR="00BB5933" w:rsidRPr="0033709A" w:rsidRDefault="00BB5933" w:rsidP="002E3503">
            <w:pPr>
              <w:spacing w:line="360" w:lineRule="auto"/>
              <w:jc w:val="center"/>
              <w:rPr>
                <w:rFonts w:eastAsia="Calibri"/>
              </w:rPr>
            </w:pPr>
            <w:r w:rsidRPr="00F36307">
              <w:rPr>
                <w:rFonts w:eastAsia="Calibri"/>
              </w:rPr>
              <w:t>1539</w:t>
            </w:r>
            <w:r w:rsidR="00B063E7">
              <w:rPr>
                <w:rFonts w:eastAsia="Calibri"/>
              </w:rPr>
              <w:t>1.00</w:t>
            </w:r>
          </w:p>
        </w:tc>
        <w:tc>
          <w:tcPr>
            <w:tcW w:w="1102" w:type="dxa"/>
            <w:tcBorders>
              <w:bottom w:val="single" w:sz="4" w:space="0" w:color="auto"/>
            </w:tcBorders>
            <w:vAlign w:val="center"/>
          </w:tcPr>
          <w:p w14:paraId="54D0E8D8" w14:textId="77777777" w:rsidR="00BB5933" w:rsidRPr="00C42F3D" w:rsidRDefault="00BB5933" w:rsidP="002E3503">
            <w:pPr>
              <w:spacing w:line="360" w:lineRule="auto"/>
              <w:jc w:val="center"/>
              <w:rPr>
                <w:rFonts w:eastAsia="Calibri"/>
              </w:rPr>
            </w:pPr>
            <w:r w:rsidRPr="00F36307">
              <w:rPr>
                <w:rFonts w:eastAsia="Calibri"/>
              </w:rPr>
              <w:t>.362</w:t>
            </w:r>
          </w:p>
        </w:tc>
      </w:tr>
    </w:tbl>
    <w:p w14:paraId="1C6EE503" w14:textId="77777777" w:rsidR="002C67F5" w:rsidRPr="00A90998" w:rsidRDefault="002C67F5" w:rsidP="002C67F5">
      <w:pPr>
        <w:spacing w:line="360" w:lineRule="auto"/>
        <w:jc w:val="both"/>
        <w:rPr>
          <w:rFonts w:eastAsia="Calibri"/>
          <w:lang w:val="en-US"/>
        </w:rPr>
      </w:pPr>
      <w:r w:rsidRPr="00A90998">
        <w:rPr>
          <w:rFonts w:eastAsia="Calibri"/>
          <w:lang w:val="en-US"/>
        </w:rPr>
        <w:t xml:space="preserve">*p level at </w:t>
      </w:r>
      <w:r w:rsidRPr="00A90998">
        <w:rPr>
          <w:rFonts w:eastAsia="Calibri"/>
          <w:i/>
          <w:lang w:val="en-US"/>
        </w:rPr>
        <w:t>P</w:t>
      </w:r>
      <w:r w:rsidRPr="00A90998">
        <w:rPr>
          <w:rFonts w:eastAsia="Calibri"/>
          <w:lang w:val="en-US"/>
        </w:rPr>
        <w:t>&lt;0.05</w:t>
      </w:r>
    </w:p>
    <w:p w14:paraId="65545F0E" w14:textId="77777777" w:rsidR="005C25FB" w:rsidRPr="0073336A" w:rsidRDefault="005C25FB" w:rsidP="002C67F5">
      <w:pPr>
        <w:autoSpaceDE w:val="0"/>
        <w:autoSpaceDN w:val="0"/>
        <w:adjustRightInd w:val="0"/>
        <w:spacing w:line="360" w:lineRule="auto"/>
        <w:jc w:val="both"/>
        <w:rPr>
          <w:sz w:val="12"/>
          <w:szCs w:val="12"/>
          <w:lang w:val="en-US"/>
        </w:rPr>
      </w:pPr>
    </w:p>
    <w:p w14:paraId="70CF9A6A" w14:textId="77777777" w:rsidR="00BB2547" w:rsidRDefault="002C67F5" w:rsidP="00403EE9">
      <w:pPr>
        <w:autoSpaceDE w:val="0"/>
        <w:autoSpaceDN w:val="0"/>
        <w:adjustRightInd w:val="0"/>
        <w:spacing w:after="120" w:line="360" w:lineRule="auto"/>
        <w:jc w:val="both"/>
        <w:rPr>
          <w:lang w:val="el-GR"/>
        </w:rPr>
      </w:pPr>
      <w:r w:rsidRPr="00EC4DDA">
        <w:rPr>
          <w:lang w:val="el-GR"/>
        </w:rPr>
        <w:lastRenderedPageBreak/>
        <w:t>Στην προσπάθει</w:t>
      </w:r>
      <w:r w:rsidR="00BC358C">
        <w:rPr>
          <w:lang w:val="el-GR"/>
        </w:rPr>
        <w:t>α ελέγχου της ύπαρξης στατιστικ</w:t>
      </w:r>
      <w:r w:rsidR="00714EE5">
        <w:rPr>
          <w:lang w:val="el-GR"/>
        </w:rPr>
        <w:t xml:space="preserve">ά σημαντικής διαφοράς </w:t>
      </w:r>
      <w:r w:rsidRPr="00EC4DDA">
        <w:rPr>
          <w:lang w:val="el-GR"/>
        </w:rPr>
        <w:t>μεταξύ των ηλικιακών υποομάδων για τις ερωτήσεις κάθε τομέ</w:t>
      </w:r>
      <w:r w:rsidR="00A12F94">
        <w:rPr>
          <w:lang w:val="el-GR"/>
        </w:rPr>
        <w:t>α του ερωτηματολόγιου της έρευνα</w:t>
      </w:r>
      <w:r w:rsidRPr="00EC4DDA">
        <w:rPr>
          <w:lang w:val="el-GR"/>
        </w:rPr>
        <w:t xml:space="preserve">ς </w:t>
      </w:r>
      <w:r w:rsidR="00714EE5">
        <w:rPr>
          <w:lang w:val="el-GR"/>
        </w:rPr>
        <w:t xml:space="preserve">πραγματοποιήθηκε το </w:t>
      </w:r>
      <w:proofErr w:type="spellStart"/>
      <w:r w:rsidR="00714EE5" w:rsidRPr="00714EE5">
        <w:rPr>
          <w:lang w:val="el-GR"/>
        </w:rPr>
        <w:t>Kruskal-Wallis</w:t>
      </w:r>
      <w:proofErr w:type="spellEnd"/>
      <w:r w:rsidR="00714EE5" w:rsidRPr="00714EE5">
        <w:rPr>
          <w:lang w:val="el-GR"/>
        </w:rPr>
        <w:t xml:space="preserve"> H </w:t>
      </w:r>
      <w:proofErr w:type="spellStart"/>
      <w:r w:rsidR="00714EE5" w:rsidRPr="00714EE5">
        <w:rPr>
          <w:lang w:val="el-GR"/>
        </w:rPr>
        <w:t>test</w:t>
      </w:r>
      <w:proofErr w:type="spellEnd"/>
      <w:r w:rsidR="00714EE5">
        <w:rPr>
          <w:lang w:val="el-GR"/>
        </w:rPr>
        <w:t>.</w:t>
      </w:r>
    </w:p>
    <w:p w14:paraId="6763B7C9" w14:textId="77777777" w:rsidR="00BB2547" w:rsidRPr="00EC4DDA" w:rsidRDefault="00BB2547" w:rsidP="00403EE9">
      <w:pPr>
        <w:autoSpaceDE w:val="0"/>
        <w:autoSpaceDN w:val="0"/>
        <w:adjustRightInd w:val="0"/>
        <w:spacing w:after="120" w:line="360" w:lineRule="auto"/>
        <w:jc w:val="both"/>
        <w:rPr>
          <w:lang w:val="el-GR"/>
        </w:rPr>
      </w:pPr>
      <w:r w:rsidRPr="00BF0161">
        <w:rPr>
          <w:lang w:val="el-GR"/>
        </w:rPr>
        <w:t xml:space="preserve">Ειδικότερα στατιστικά σημαντικές διαφορές εντοπίστηκαν στις ερωτήσεις </w:t>
      </w:r>
      <w:r w:rsidRPr="00AB5367">
        <w:t>Q</w:t>
      </w:r>
      <w:r w:rsidR="00A01B51">
        <w:rPr>
          <w:lang w:val="el-GR"/>
        </w:rPr>
        <w:t>1</w:t>
      </w:r>
      <w:r w:rsidRPr="00BF0161">
        <w:rPr>
          <w:lang w:val="el-GR"/>
        </w:rPr>
        <w:t xml:space="preserve"> με Η(5) = </w:t>
      </w:r>
      <w:r w:rsidR="00465199" w:rsidRPr="00465199">
        <w:rPr>
          <w:lang w:val="el-GR"/>
        </w:rPr>
        <w:t>27.796</w:t>
      </w:r>
      <w:r w:rsidRPr="00BF0161">
        <w:rPr>
          <w:lang w:val="el-GR"/>
        </w:rPr>
        <w:t xml:space="preserve">, </w:t>
      </w:r>
      <w:r w:rsidRPr="00AB5367">
        <w:t>p</w:t>
      </w:r>
      <w:r w:rsidR="00465199">
        <w:rPr>
          <w:lang w:val="el-GR"/>
        </w:rPr>
        <w:t xml:space="preserve"> &lt; .001</w:t>
      </w:r>
      <w:r w:rsidR="00A01B51">
        <w:rPr>
          <w:lang w:val="el-GR"/>
        </w:rPr>
        <w:t xml:space="preserve">, </w:t>
      </w:r>
      <w:r w:rsidR="00465199">
        <w:rPr>
          <w:lang w:val="el-GR"/>
        </w:rPr>
        <w:t xml:space="preserve">την </w:t>
      </w:r>
      <w:r>
        <w:t>Q</w:t>
      </w:r>
      <w:r w:rsidR="00A01B51">
        <w:rPr>
          <w:lang w:val="el-GR"/>
        </w:rPr>
        <w:t>2</w:t>
      </w:r>
      <w:r w:rsidRPr="00BF0161">
        <w:rPr>
          <w:lang w:val="el-GR"/>
        </w:rPr>
        <w:t xml:space="preserve"> με Η(5) = </w:t>
      </w:r>
      <w:r w:rsidR="00465199" w:rsidRPr="00465199">
        <w:rPr>
          <w:lang w:val="el-GR"/>
        </w:rPr>
        <w:t>22.271</w:t>
      </w:r>
      <w:r w:rsidRPr="00BF0161">
        <w:rPr>
          <w:lang w:val="el-GR"/>
        </w:rPr>
        <w:t xml:space="preserve">, </w:t>
      </w:r>
      <w:r w:rsidRPr="00AB5367">
        <w:t>p</w:t>
      </w:r>
      <w:r w:rsidR="00465199">
        <w:rPr>
          <w:lang w:val="el-GR"/>
        </w:rPr>
        <w:t xml:space="preserve"> &lt; .001</w:t>
      </w:r>
      <w:r w:rsidR="00A01B51">
        <w:rPr>
          <w:lang w:val="el-GR"/>
        </w:rPr>
        <w:t xml:space="preserve">, </w:t>
      </w:r>
      <w:r w:rsidR="00465199">
        <w:rPr>
          <w:lang w:val="el-GR"/>
        </w:rPr>
        <w:t xml:space="preserve">την </w:t>
      </w:r>
      <w:r w:rsidR="00465199">
        <w:t>Q</w:t>
      </w:r>
      <w:r w:rsidR="00465199">
        <w:rPr>
          <w:lang w:val="el-GR"/>
        </w:rPr>
        <w:t>2</w:t>
      </w:r>
      <w:r w:rsidR="00465199">
        <w:rPr>
          <w:lang w:val="en-US"/>
        </w:rPr>
        <w:t>b</w:t>
      </w:r>
      <w:r w:rsidR="00465199" w:rsidRPr="00BF0161">
        <w:rPr>
          <w:lang w:val="el-GR"/>
        </w:rPr>
        <w:t xml:space="preserve"> με Η(5) = </w:t>
      </w:r>
      <w:r w:rsidR="00465199" w:rsidRPr="00465199">
        <w:rPr>
          <w:lang w:val="el-GR"/>
        </w:rPr>
        <w:t>19.461</w:t>
      </w:r>
      <w:r w:rsidR="00465199" w:rsidRPr="00BF0161">
        <w:rPr>
          <w:lang w:val="el-GR"/>
        </w:rPr>
        <w:t xml:space="preserve">, </w:t>
      </w:r>
      <w:r w:rsidR="00465199" w:rsidRPr="00AB5367">
        <w:t>p</w:t>
      </w:r>
      <w:r w:rsidR="00465199">
        <w:rPr>
          <w:lang w:val="el-GR"/>
        </w:rPr>
        <w:t xml:space="preserve"> &lt; .005, την </w:t>
      </w:r>
      <w:r w:rsidR="00465199">
        <w:t>Q</w:t>
      </w:r>
      <w:r w:rsidR="00465199">
        <w:rPr>
          <w:lang w:val="el-GR"/>
        </w:rPr>
        <w:t>5</w:t>
      </w:r>
      <w:r w:rsidR="00465199" w:rsidRPr="00BF0161">
        <w:rPr>
          <w:lang w:val="el-GR"/>
        </w:rPr>
        <w:t xml:space="preserve"> με Η(5) = </w:t>
      </w:r>
      <w:r w:rsidR="00465199" w:rsidRPr="00465199">
        <w:rPr>
          <w:lang w:val="el-GR"/>
        </w:rPr>
        <w:t>17.586</w:t>
      </w:r>
      <w:r w:rsidR="00465199" w:rsidRPr="00BF0161">
        <w:rPr>
          <w:lang w:val="el-GR"/>
        </w:rPr>
        <w:t xml:space="preserve">, </w:t>
      </w:r>
      <w:r w:rsidR="00465199" w:rsidRPr="00AB5367">
        <w:t>p</w:t>
      </w:r>
      <w:r w:rsidR="00465199" w:rsidRPr="00BF0161">
        <w:rPr>
          <w:lang w:val="el-GR"/>
        </w:rPr>
        <w:t xml:space="preserve"> &lt; .000</w:t>
      </w:r>
      <w:r w:rsidR="00465199">
        <w:rPr>
          <w:lang w:val="el-GR"/>
        </w:rPr>
        <w:t xml:space="preserve">, την </w:t>
      </w:r>
      <w:r w:rsidR="00465199">
        <w:t>Q</w:t>
      </w:r>
      <w:r w:rsidR="00465199">
        <w:rPr>
          <w:lang w:val="el-GR"/>
        </w:rPr>
        <w:t>6</w:t>
      </w:r>
      <w:r w:rsidR="00465199" w:rsidRPr="00BF0161">
        <w:rPr>
          <w:lang w:val="el-GR"/>
        </w:rPr>
        <w:t xml:space="preserve"> με Η(5) = </w:t>
      </w:r>
      <w:r w:rsidR="00465199" w:rsidRPr="00465199">
        <w:rPr>
          <w:lang w:val="el-GR"/>
        </w:rPr>
        <w:t>18.551</w:t>
      </w:r>
      <w:r w:rsidR="00465199" w:rsidRPr="00BF0161">
        <w:rPr>
          <w:lang w:val="el-GR"/>
        </w:rPr>
        <w:t xml:space="preserve">, </w:t>
      </w:r>
      <w:r w:rsidR="00465199" w:rsidRPr="00AB5367">
        <w:t>p</w:t>
      </w:r>
      <w:r w:rsidR="00465199">
        <w:rPr>
          <w:lang w:val="el-GR"/>
        </w:rPr>
        <w:t xml:space="preserve"> &lt; .005, και την </w:t>
      </w:r>
      <w:r w:rsidR="00465199">
        <w:t>Q</w:t>
      </w:r>
      <w:r w:rsidR="00465199">
        <w:rPr>
          <w:lang w:val="el-GR"/>
        </w:rPr>
        <w:t>11</w:t>
      </w:r>
      <w:r w:rsidR="00465199" w:rsidRPr="00BF0161">
        <w:rPr>
          <w:lang w:val="el-GR"/>
        </w:rPr>
        <w:t xml:space="preserve"> με Η(5) = </w:t>
      </w:r>
      <w:r w:rsidR="00465199" w:rsidRPr="00465199">
        <w:rPr>
          <w:lang w:val="el-GR"/>
        </w:rPr>
        <w:t>34.095</w:t>
      </w:r>
      <w:r w:rsidR="00465199" w:rsidRPr="00BF0161">
        <w:rPr>
          <w:lang w:val="el-GR"/>
        </w:rPr>
        <w:t xml:space="preserve">, </w:t>
      </w:r>
      <w:r w:rsidR="00465199" w:rsidRPr="00AB5367">
        <w:t>p</w:t>
      </w:r>
      <w:r w:rsidR="00465199">
        <w:rPr>
          <w:lang w:val="el-GR"/>
        </w:rPr>
        <w:t xml:space="preserve"> &lt; .001, όπως και για το συνολικό σκορ της κλίμακας </w:t>
      </w:r>
      <w:r w:rsidR="00465199" w:rsidRPr="00BF0161">
        <w:rPr>
          <w:lang w:val="el-GR"/>
        </w:rPr>
        <w:t xml:space="preserve">με Η(5) = </w:t>
      </w:r>
      <w:r w:rsidR="00465199" w:rsidRPr="006A7609">
        <w:rPr>
          <w:lang w:val="el-GR"/>
        </w:rPr>
        <w:t>19.489</w:t>
      </w:r>
      <w:r w:rsidR="00465199" w:rsidRPr="00BF0161">
        <w:rPr>
          <w:lang w:val="el-GR"/>
        </w:rPr>
        <w:t xml:space="preserve">, </w:t>
      </w:r>
      <w:r w:rsidR="00465199" w:rsidRPr="00AB5367">
        <w:t>p</w:t>
      </w:r>
      <w:r w:rsidR="00465199">
        <w:rPr>
          <w:lang w:val="el-GR"/>
        </w:rPr>
        <w:t xml:space="preserve"> &lt; .005. Σ</w:t>
      </w:r>
      <w:r w:rsidRPr="00BF0161">
        <w:rPr>
          <w:lang w:val="el-GR"/>
        </w:rPr>
        <w:t>τον αντίποδα</w:t>
      </w:r>
      <w:r w:rsidR="003B200E">
        <w:rPr>
          <w:lang w:val="el-GR"/>
        </w:rPr>
        <w:t>,</w:t>
      </w:r>
      <w:r w:rsidRPr="00BF0161">
        <w:rPr>
          <w:lang w:val="el-GR"/>
        </w:rPr>
        <w:t xml:space="preserve"> δεν παρατηρήθηκαν στατιστικές σημαντικές διαφορές για τις ερωτήσεις </w:t>
      </w:r>
      <w:r>
        <w:t>Q</w:t>
      </w:r>
      <w:r w:rsidR="00465199">
        <w:rPr>
          <w:lang w:val="el-GR"/>
        </w:rPr>
        <w:t>3</w:t>
      </w:r>
      <w:r w:rsidRPr="00BF0161">
        <w:rPr>
          <w:lang w:val="el-GR"/>
        </w:rPr>
        <w:t xml:space="preserve"> με Η(5) = </w:t>
      </w:r>
      <w:r w:rsidR="006A7609" w:rsidRPr="006A7609">
        <w:rPr>
          <w:lang w:val="el-GR"/>
        </w:rPr>
        <w:t>9.773</w:t>
      </w:r>
      <w:r w:rsidRPr="00BF0161">
        <w:rPr>
          <w:lang w:val="el-GR"/>
        </w:rPr>
        <w:t xml:space="preserve">, </w:t>
      </w:r>
      <w:r w:rsidRPr="00AB5367">
        <w:t>NS</w:t>
      </w:r>
      <w:r w:rsidRPr="00BF0161">
        <w:rPr>
          <w:lang w:val="el-GR"/>
        </w:rPr>
        <w:t xml:space="preserve">, την </w:t>
      </w:r>
      <w:r>
        <w:t>Q</w:t>
      </w:r>
      <w:r w:rsidR="00465199">
        <w:rPr>
          <w:lang w:val="el-GR"/>
        </w:rPr>
        <w:t>3b</w:t>
      </w:r>
      <w:r w:rsidRPr="00BF0161">
        <w:rPr>
          <w:lang w:val="el-GR"/>
        </w:rPr>
        <w:t xml:space="preserve"> με Η(5) = </w:t>
      </w:r>
      <w:r w:rsidR="006A7609" w:rsidRPr="006A7609">
        <w:rPr>
          <w:lang w:val="el-GR"/>
        </w:rPr>
        <w:t>11.897</w:t>
      </w:r>
      <w:r w:rsidRPr="00BF0161">
        <w:rPr>
          <w:lang w:val="el-GR"/>
        </w:rPr>
        <w:t xml:space="preserve">, </w:t>
      </w:r>
      <w:r w:rsidRPr="00AB5367">
        <w:t>NS</w:t>
      </w:r>
      <w:r w:rsidRPr="00BF0161">
        <w:rPr>
          <w:lang w:val="el-GR"/>
        </w:rPr>
        <w:t xml:space="preserve">, την </w:t>
      </w:r>
      <w:r>
        <w:t>Q</w:t>
      </w:r>
      <w:r w:rsidR="00465199">
        <w:rPr>
          <w:lang w:val="el-GR"/>
        </w:rPr>
        <w:t>4</w:t>
      </w:r>
      <w:r w:rsidRPr="00BF0161">
        <w:rPr>
          <w:lang w:val="el-GR"/>
        </w:rPr>
        <w:t xml:space="preserve"> με Η(5) = </w:t>
      </w:r>
      <w:r w:rsidR="006A7609" w:rsidRPr="006A7609">
        <w:rPr>
          <w:lang w:val="el-GR"/>
        </w:rPr>
        <w:t>7.683</w:t>
      </w:r>
      <w:r w:rsidRPr="00BF0161">
        <w:rPr>
          <w:lang w:val="el-GR"/>
        </w:rPr>
        <w:t xml:space="preserve">, </w:t>
      </w:r>
      <w:r>
        <w:t>NS</w:t>
      </w:r>
      <w:r w:rsidRPr="00BF0161">
        <w:rPr>
          <w:lang w:val="el-GR"/>
        </w:rPr>
        <w:t xml:space="preserve">, την </w:t>
      </w:r>
      <w:r>
        <w:t>Q</w:t>
      </w:r>
      <w:r w:rsidRPr="00BF0161">
        <w:rPr>
          <w:lang w:val="el-GR"/>
        </w:rPr>
        <w:t>4</w:t>
      </w:r>
      <w:r w:rsidR="00465199">
        <w:rPr>
          <w:lang w:val="el-GR"/>
        </w:rPr>
        <w:t>b</w:t>
      </w:r>
      <w:r w:rsidRPr="00BF0161">
        <w:rPr>
          <w:lang w:val="el-GR"/>
        </w:rPr>
        <w:t xml:space="preserve"> με Η(5) = </w:t>
      </w:r>
      <w:r w:rsidR="006A7609" w:rsidRPr="006A7609">
        <w:rPr>
          <w:lang w:val="el-GR"/>
        </w:rPr>
        <w:t>11.674</w:t>
      </w:r>
      <w:r w:rsidRPr="00BF0161">
        <w:rPr>
          <w:lang w:val="el-GR"/>
        </w:rPr>
        <w:t xml:space="preserve">, </w:t>
      </w:r>
      <w:r w:rsidRPr="00AB5367">
        <w:t>NS</w:t>
      </w:r>
      <w:r w:rsidRPr="00BF0161">
        <w:rPr>
          <w:lang w:val="el-GR"/>
        </w:rPr>
        <w:t xml:space="preserve">, την </w:t>
      </w:r>
      <w:r>
        <w:t>Q</w:t>
      </w:r>
      <w:r w:rsidRPr="00BF0161">
        <w:rPr>
          <w:lang w:val="el-GR"/>
        </w:rPr>
        <w:t>5</w:t>
      </w:r>
      <w:r w:rsidR="00465199">
        <w:rPr>
          <w:lang w:val="el-GR"/>
        </w:rPr>
        <w:t>b</w:t>
      </w:r>
      <w:r w:rsidRPr="00BF0161">
        <w:rPr>
          <w:lang w:val="el-GR"/>
        </w:rPr>
        <w:t xml:space="preserve"> με Η(5) = </w:t>
      </w:r>
      <w:r w:rsidR="006A7609" w:rsidRPr="006A7609">
        <w:rPr>
          <w:lang w:val="el-GR"/>
        </w:rPr>
        <w:t>14.461</w:t>
      </w:r>
      <w:r w:rsidRPr="00BF0161">
        <w:rPr>
          <w:lang w:val="el-GR"/>
        </w:rPr>
        <w:t xml:space="preserve">, </w:t>
      </w:r>
      <w:r w:rsidRPr="00AB5367">
        <w:t>NS</w:t>
      </w:r>
      <w:r w:rsidRPr="00BF0161">
        <w:rPr>
          <w:lang w:val="el-GR"/>
        </w:rPr>
        <w:t xml:space="preserve">, την </w:t>
      </w:r>
      <w:r>
        <w:t>Q</w:t>
      </w:r>
      <w:r w:rsidR="00465199">
        <w:rPr>
          <w:lang w:val="el-GR"/>
        </w:rPr>
        <w:t>7</w:t>
      </w:r>
      <w:r w:rsidRPr="00BF0161">
        <w:rPr>
          <w:lang w:val="el-GR"/>
        </w:rPr>
        <w:t xml:space="preserve"> με Η(5) = </w:t>
      </w:r>
      <w:r w:rsidR="006A7609" w:rsidRPr="006A7609">
        <w:rPr>
          <w:lang w:val="el-GR"/>
        </w:rPr>
        <w:t>8.913</w:t>
      </w:r>
      <w:r w:rsidRPr="00BF0161">
        <w:rPr>
          <w:lang w:val="el-GR"/>
        </w:rPr>
        <w:t xml:space="preserve">, </w:t>
      </w:r>
      <w:r w:rsidRPr="00AB5367">
        <w:t>NS</w:t>
      </w:r>
      <w:r w:rsidRPr="00BF0161">
        <w:rPr>
          <w:lang w:val="el-GR"/>
        </w:rPr>
        <w:t xml:space="preserve"> την </w:t>
      </w:r>
      <w:r>
        <w:t>Q</w:t>
      </w:r>
      <w:r w:rsidRPr="00BF0161">
        <w:rPr>
          <w:lang w:val="el-GR"/>
        </w:rPr>
        <w:t xml:space="preserve">8 με Η(5) = </w:t>
      </w:r>
      <w:r w:rsidR="006A7609" w:rsidRPr="006A7609">
        <w:rPr>
          <w:lang w:val="el-GR"/>
        </w:rPr>
        <w:t>5.700</w:t>
      </w:r>
      <w:r w:rsidRPr="00BF0161">
        <w:rPr>
          <w:lang w:val="el-GR"/>
        </w:rPr>
        <w:t xml:space="preserve">, </w:t>
      </w:r>
      <w:r w:rsidRPr="00AB5367">
        <w:t>NS</w:t>
      </w:r>
      <w:r w:rsidRPr="00BF0161">
        <w:rPr>
          <w:lang w:val="el-GR"/>
        </w:rPr>
        <w:t xml:space="preserve"> και την </w:t>
      </w:r>
      <w:r>
        <w:t>Q</w:t>
      </w:r>
      <w:r w:rsidRPr="00BF0161">
        <w:rPr>
          <w:lang w:val="el-GR"/>
        </w:rPr>
        <w:t xml:space="preserve">9 με Η(5) = </w:t>
      </w:r>
      <w:r w:rsidR="006A7609" w:rsidRPr="006A7609">
        <w:rPr>
          <w:lang w:val="el-GR"/>
        </w:rPr>
        <w:t>3.964</w:t>
      </w:r>
      <w:r w:rsidRPr="00BF0161">
        <w:rPr>
          <w:lang w:val="el-GR"/>
        </w:rPr>
        <w:t xml:space="preserve">, </w:t>
      </w:r>
      <w:r w:rsidRPr="00AB5367">
        <w:t>NS</w:t>
      </w:r>
      <w:r w:rsidR="00465199">
        <w:rPr>
          <w:lang w:val="el-GR"/>
        </w:rPr>
        <w:t xml:space="preserve"> (Πίνακας 3.4</w:t>
      </w:r>
      <w:r w:rsidRPr="00BF0161">
        <w:rPr>
          <w:lang w:val="el-GR"/>
        </w:rPr>
        <w:t>.).</w:t>
      </w:r>
    </w:p>
    <w:p w14:paraId="778E8DC8" w14:textId="77777777" w:rsidR="002C67F5" w:rsidRPr="00BF0161" w:rsidRDefault="002C67F5" w:rsidP="0073336A">
      <w:pPr>
        <w:autoSpaceDE w:val="0"/>
        <w:autoSpaceDN w:val="0"/>
        <w:adjustRightInd w:val="0"/>
        <w:jc w:val="both"/>
        <w:rPr>
          <w:sz w:val="12"/>
          <w:szCs w:val="12"/>
          <w:lang w:val="el-GR"/>
        </w:rPr>
      </w:pPr>
    </w:p>
    <w:p w14:paraId="32E223D9" w14:textId="77777777" w:rsidR="002C67F5" w:rsidRPr="00BF0161" w:rsidRDefault="00465199" w:rsidP="002C67F5">
      <w:pPr>
        <w:keepNext/>
        <w:spacing w:line="360" w:lineRule="auto"/>
        <w:jc w:val="both"/>
        <w:rPr>
          <w:rFonts w:eastAsia="Times New Roman"/>
          <w:b/>
          <w:bCs/>
          <w:lang w:val="el-GR"/>
        </w:rPr>
      </w:pPr>
      <w:r>
        <w:rPr>
          <w:rFonts w:eastAsia="Times New Roman"/>
          <w:b/>
          <w:bCs/>
          <w:lang w:val="el-GR"/>
        </w:rPr>
        <w:t>Πίνακας 3.4</w:t>
      </w:r>
      <w:r w:rsidR="002C67F5" w:rsidRPr="00BF0161">
        <w:rPr>
          <w:rFonts w:eastAsia="Times New Roman"/>
          <w:b/>
          <w:bCs/>
          <w:lang w:val="el-GR"/>
        </w:rPr>
        <w:t>. Σύγκριση Μέσων μεταξύ Όλων των Ηλικιακών για τις</w:t>
      </w:r>
      <w:r>
        <w:rPr>
          <w:rFonts w:eastAsia="Times New Roman"/>
          <w:b/>
          <w:bCs/>
          <w:lang w:val="el-GR"/>
        </w:rPr>
        <w:t xml:space="preserve"> Ερωτήσεις της Κλίμακας Κατάποσης για Ασθενείς με Καρκίνο Κεφαλής και Τραχήλου</w:t>
      </w:r>
      <w:r w:rsidR="002C67F5" w:rsidRPr="00BF0161">
        <w:rPr>
          <w:rFonts w:eastAsia="Times New Roman"/>
          <w:b/>
          <w:bCs/>
          <w:lang w:val="el-GR"/>
        </w:rPr>
        <w:t>.</w:t>
      </w:r>
    </w:p>
    <w:tbl>
      <w:tblPr>
        <w:tblW w:w="8503" w:type="dxa"/>
        <w:jc w:val="center"/>
        <w:tblCellMar>
          <w:top w:w="58" w:type="dxa"/>
          <w:left w:w="115" w:type="dxa"/>
          <w:bottom w:w="58" w:type="dxa"/>
          <w:right w:w="115" w:type="dxa"/>
        </w:tblCellMar>
        <w:tblLook w:val="01E0" w:firstRow="1" w:lastRow="1" w:firstColumn="1" w:lastColumn="1" w:noHBand="0" w:noVBand="0"/>
      </w:tblPr>
      <w:tblGrid>
        <w:gridCol w:w="680"/>
        <w:gridCol w:w="962"/>
        <w:gridCol w:w="963"/>
        <w:gridCol w:w="964"/>
        <w:gridCol w:w="914"/>
        <w:gridCol w:w="1014"/>
        <w:gridCol w:w="890"/>
        <w:gridCol w:w="1295"/>
        <w:gridCol w:w="821"/>
      </w:tblGrid>
      <w:tr w:rsidR="005C18B1" w:rsidRPr="0073336A" w14:paraId="3B9049D9" w14:textId="77777777" w:rsidTr="0073336A">
        <w:trPr>
          <w:cantSplit/>
          <w:trHeight w:val="812"/>
          <w:jc w:val="center"/>
        </w:trPr>
        <w:tc>
          <w:tcPr>
            <w:tcW w:w="680" w:type="dxa"/>
            <w:tcBorders>
              <w:top w:val="single" w:sz="4" w:space="0" w:color="auto"/>
              <w:bottom w:val="single" w:sz="18" w:space="0" w:color="auto"/>
            </w:tcBorders>
            <w:textDirection w:val="btLr"/>
            <w:vAlign w:val="center"/>
          </w:tcPr>
          <w:p w14:paraId="28860EC8" w14:textId="77777777" w:rsidR="005C18B1" w:rsidRPr="0073336A" w:rsidRDefault="005C18B1" w:rsidP="002E3503">
            <w:pPr>
              <w:spacing w:line="360" w:lineRule="auto"/>
              <w:ind w:left="113" w:right="113"/>
              <w:jc w:val="center"/>
              <w:rPr>
                <w:rFonts w:eastAsia="Calibri"/>
                <w:b/>
              </w:rPr>
            </w:pPr>
            <w:proofErr w:type="spellStart"/>
            <w:r w:rsidRPr="0073336A">
              <w:rPr>
                <w:rFonts w:eastAsia="Calibri"/>
                <w:b/>
                <w:sz w:val="22"/>
                <w:szCs w:val="22"/>
              </w:rPr>
              <w:t>Ερωτήσεις</w:t>
            </w:r>
            <w:proofErr w:type="spellEnd"/>
          </w:p>
        </w:tc>
        <w:tc>
          <w:tcPr>
            <w:tcW w:w="5707" w:type="dxa"/>
            <w:gridSpan w:val="6"/>
            <w:tcBorders>
              <w:top w:val="single" w:sz="4" w:space="0" w:color="auto"/>
              <w:bottom w:val="single" w:sz="18" w:space="0" w:color="auto"/>
            </w:tcBorders>
            <w:vAlign w:val="center"/>
          </w:tcPr>
          <w:p w14:paraId="39F1C50E" w14:textId="77777777" w:rsidR="005C18B1" w:rsidRPr="0073336A" w:rsidRDefault="005C18B1" w:rsidP="002E3503">
            <w:pPr>
              <w:spacing w:line="360" w:lineRule="auto"/>
              <w:jc w:val="center"/>
              <w:rPr>
                <w:rFonts w:eastAsia="Calibri"/>
                <w:b/>
              </w:rPr>
            </w:pPr>
            <w:proofErr w:type="spellStart"/>
            <w:r w:rsidRPr="0073336A">
              <w:rPr>
                <w:rFonts w:eastAsia="Calibri"/>
                <w:b/>
                <w:sz w:val="22"/>
                <w:szCs w:val="22"/>
              </w:rPr>
              <w:t>Ηλικι</w:t>
            </w:r>
            <w:proofErr w:type="spellEnd"/>
            <w:r w:rsidRPr="0073336A">
              <w:rPr>
                <w:rFonts w:eastAsia="Calibri"/>
                <w:b/>
                <w:sz w:val="22"/>
                <w:szCs w:val="22"/>
              </w:rPr>
              <w:t xml:space="preserve">ακές </w:t>
            </w:r>
          </w:p>
          <w:p w14:paraId="0B217EFC" w14:textId="77777777" w:rsidR="005C18B1" w:rsidRPr="0073336A" w:rsidRDefault="005C18B1" w:rsidP="002E3503">
            <w:pPr>
              <w:spacing w:line="360" w:lineRule="auto"/>
              <w:jc w:val="center"/>
              <w:rPr>
                <w:rFonts w:eastAsia="Calibri"/>
                <w:b/>
              </w:rPr>
            </w:pPr>
            <w:r w:rsidRPr="0073336A">
              <w:rPr>
                <w:rFonts w:eastAsia="Calibri"/>
                <w:b/>
                <w:sz w:val="22"/>
                <w:szCs w:val="22"/>
              </w:rPr>
              <w:t>Υπ</w:t>
            </w:r>
            <w:proofErr w:type="spellStart"/>
            <w:r w:rsidRPr="0073336A">
              <w:rPr>
                <w:rFonts w:eastAsia="Calibri"/>
                <w:b/>
                <w:sz w:val="22"/>
                <w:szCs w:val="22"/>
              </w:rPr>
              <w:t>οομάδες</w:t>
            </w:r>
            <w:proofErr w:type="spellEnd"/>
          </w:p>
        </w:tc>
        <w:tc>
          <w:tcPr>
            <w:tcW w:w="1295" w:type="dxa"/>
            <w:tcBorders>
              <w:top w:val="single" w:sz="4" w:space="0" w:color="auto"/>
              <w:bottom w:val="single" w:sz="18" w:space="0" w:color="auto"/>
            </w:tcBorders>
            <w:vAlign w:val="center"/>
          </w:tcPr>
          <w:p w14:paraId="1F11354F" w14:textId="77777777" w:rsidR="005C18B1" w:rsidRPr="0073336A" w:rsidRDefault="005C18B1" w:rsidP="002E3503">
            <w:pPr>
              <w:spacing w:line="360" w:lineRule="auto"/>
              <w:jc w:val="center"/>
              <w:rPr>
                <w:rFonts w:eastAsia="Calibri"/>
                <w:b/>
              </w:rPr>
            </w:pPr>
          </w:p>
        </w:tc>
        <w:tc>
          <w:tcPr>
            <w:tcW w:w="821" w:type="dxa"/>
            <w:tcBorders>
              <w:top w:val="single" w:sz="4" w:space="0" w:color="auto"/>
              <w:bottom w:val="single" w:sz="18" w:space="0" w:color="auto"/>
            </w:tcBorders>
            <w:vAlign w:val="center"/>
          </w:tcPr>
          <w:p w14:paraId="7236CE2B" w14:textId="77777777" w:rsidR="005C18B1" w:rsidRPr="0073336A" w:rsidRDefault="005C18B1" w:rsidP="002E3503">
            <w:pPr>
              <w:spacing w:line="360" w:lineRule="auto"/>
              <w:jc w:val="center"/>
              <w:rPr>
                <w:rFonts w:eastAsia="Calibri"/>
                <w:b/>
                <w:lang w:val="en-US"/>
              </w:rPr>
            </w:pPr>
          </w:p>
        </w:tc>
      </w:tr>
      <w:tr w:rsidR="00BB2547" w:rsidRPr="00754266" w14:paraId="1E7CC5A7" w14:textId="77777777" w:rsidTr="00FB35F9">
        <w:trPr>
          <w:trHeight w:val="598"/>
          <w:jc w:val="center"/>
        </w:trPr>
        <w:tc>
          <w:tcPr>
            <w:tcW w:w="680" w:type="dxa"/>
            <w:tcBorders>
              <w:top w:val="single" w:sz="4" w:space="0" w:color="auto"/>
            </w:tcBorders>
            <w:vAlign w:val="center"/>
          </w:tcPr>
          <w:p w14:paraId="296DD7FC" w14:textId="77777777" w:rsidR="005C18B1" w:rsidRPr="003A0781" w:rsidRDefault="005C18B1" w:rsidP="002E3503">
            <w:pPr>
              <w:spacing w:line="360" w:lineRule="auto"/>
              <w:jc w:val="center"/>
              <w:rPr>
                <w:rFonts w:eastAsia="Calibri"/>
                <w:b/>
              </w:rPr>
            </w:pPr>
          </w:p>
        </w:tc>
        <w:tc>
          <w:tcPr>
            <w:tcW w:w="962" w:type="dxa"/>
            <w:tcBorders>
              <w:top w:val="single" w:sz="4" w:space="0" w:color="auto"/>
            </w:tcBorders>
            <w:vAlign w:val="center"/>
          </w:tcPr>
          <w:p w14:paraId="7603A354" w14:textId="77777777" w:rsidR="005C18B1" w:rsidRPr="00DF7E62" w:rsidRDefault="005C18B1" w:rsidP="002E3503">
            <w:pPr>
              <w:spacing w:line="360" w:lineRule="auto"/>
              <w:jc w:val="center"/>
              <w:rPr>
                <w:b/>
              </w:rPr>
            </w:pPr>
            <w:r w:rsidRPr="00DF7E62">
              <w:rPr>
                <w:b/>
              </w:rPr>
              <w:t xml:space="preserve">18-30 </w:t>
            </w:r>
            <w:proofErr w:type="spellStart"/>
            <w:r w:rsidRPr="00DF7E62">
              <w:rPr>
                <w:b/>
              </w:rPr>
              <w:t>ετών</w:t>
            </w:r>
            <w:proofErr w:type="spellEnd"/>
          </w:p>
        </w:tc>
        <w:tc>
          <w:tcPr>
            <w:tcW w:w="963" w:type="dxa"/>
            <w:tcBorders>
              <w:top w:val="single" w:sz="4" w:space="0" w:color="auto"/>
            </w:tcBorders>
            <w:vAlign w:val="center"/>
          </w:tcPr>
          <w:p w14:paraId="049DC3FB" w14:textId="77777777" w:rsidR="005C18B1" w:rsidRPr="00DF7E62" w:rsidRDefault="005C18B1" w:rsidP="002E3503">
            <w:pPr>
              <w:spacing w:line="360" w:lineRule="auto"/>
              <w:jc w:val="center"/>
              <w:rPr>
                <w:b/>
              </w:rPr>
            </w:pPr>
            <w:r w:rsidRPr="00DF7E62">
              <w:rPr>
                <w:b/>
              </w:rPr>
              <w:t xml:space="preserve">30-40 </w:t>
            </w:r>
            <w:proofErr w:type="spellStart"/>
            <w:r w:rsidRPr="00DF7E62">
              <w:rPr>
                <w:b/>
              </w:rPr>
              <w:t>ετών</w:t>
            </w:r>
            <w:proofErr w:type="spellEnd"/>
          </w:p>
        </w:tc>
        <w:tc>
          <w:tcPr>
            <w:tcW w:w="964" w:type="dxa"/>
            <w:tcBorders>
              <w:top w:val="single" w:sz="4" w:space="0" w:color="auto"/>
            </w:tcBorders>
            <w:vAlign w:val="center"/>
          </w:tcPr>
          <w:p w14:paraId="33742E67" w14:textId="77777777" w:rsidR="005C18B1" w:rsidRPr="00DF7E62" w:rsidRDefault="005C18B1" w:rsidP="002E3503">
            <w:pPr>
              <w:spacing w:line="360" w:lineRule="auto"/>
              <w:jc w:val="center"/>
              <w:rPr>
                <w:b/>
              </w:rPr>
            </w:pPr>
            <w:r w:rsidRPr="00DF7E62">
              <w:rPr>
                <w:b/>
              </w:rPr>
              <w:t xml:space="preserve">40-50 </w:t>
            </w:r>
            <w:proofErr w:type="spellStart"/>
            <w:r w:rsidRPr="00DF7E62">
              <w:rPr>
                <w:b/>
              </w:rPr>
              <w:t>ετών</w:t>
            </w:r>
            <w:proofErr w:type="spellEnd"/>
          </w:p>
        </w:tc>
        <w:tc>
          <w:tcPr>
            <w:tcW w:w="914" w:type="dxa"/>
            <w:tcBorders>
              <w:top w:val="single" w:sz="4" w:space="0" w:color="auto"/>
            </w:tcBorders>
            <w:vAlign w:val="center"/>
          </w:tcPr>
          <w:p w14:paraId="0B25046E" w14:textId="77777777" w:rsidR="005C18B1" w:rsidRPr="00DF7E62" w:rsidRDefault="005C18B1" w:rsidP="002E3503">
            <w:pPr>
              <w:spacing w:line="360" w:lineRule="auto"/>
              <w:jc w:val="center"/>
              <w:rPr>
                <w:b/>
              </w:rPr>
            </w:pPr>
            <w:r w:rsidRPr="00DF7E62">
              <w:rPr>
                <w:b/>
              </w:rPr>
              <w:t xml:space="preserve">50-60 </w:t>
            </w:r>
            <w:proofErr w:type="spellStart"/>
            <w:r w:rsidRPr="00DF7E62">
              <w:rPr>
                <w:b/>
              </w:rPr>
              <w:t>ετών</w:t>
            </w:r>
            <w:proofErr w:type="spellEnd"/>
          </w:p>
        </w:tc>
        <w:tc>
          <w:tcPr>
            <w:tcW w:w="1014" w:type="dxa"/>
            <w:tcBorders>
              <w:top w:val="single" w:sz="4" w:space="0" w:color="auto"/>
            </w:tcBorders>
            <w:vAlign w:val="center"/>
          </w:tcPr>
          <w:p w14:paraId="2627AFBA" w14:textId="77777777" w:rsidR="005C18B1" w:rsidRPr="00DF7E62" w:rsidRDefault="005C18B1" w:rsidP="002E3503">
            <w:pPr>
              <w:spacing w:line="360" w:lineRule="auto"/>
              <w:jc w:val="center"/>
              <w:rPr>
                <w:b/>
              </w:rPr>
            </w:pPr>
            <w:r w:rsidRPr="00DF7E62">
              <w:rPr>
                <w:b/>
              </w:rPr>
              <w:t xml:space="preserve">60-70 </w:t>
            </w:r>
            <w:proofErr w:type="spellStart"/>
            <w:r w:rsidRPr="00DF7E62">
              <w:rPr>
                <w:b/>
              </w:rPr>
              <w:t>ετών</w:t>
            </w:r>
            <w:proofErr w:type="spellEnd"/>
          </w:p>
        </w:tc>
        <w:tc>
          <w:tcPr>
            <w:tcW w:w="890" w:type="dxa"/>
            <w:tcBorders>
              <w:top w:val="single" w:sz="4" w:space="0" w:color="auto"/>
            </w:tcBorders>
            <w:vAlign w:val="center"/>
          </w:tcPr>
          <w:p w14:paraId="5B8D3C26" w14:textId="77777777" w:rsidR="005C18B1" w:rsidRPr="00DF7E62" w:rsidRDefault="005C18B1" w:rsidP="002E3503">
            <w:pPr>
              <w:spacing w:line="360" w:lineRule="auto"/>
              <w:jc w:val="center"/>
              <w:rPr>
                <w:b/>
              </w:rPr>
            </w:pPr>
            <w:r w:rsidRPr="00DF7E62">
              <w:rPr>
                <w:b/>
              </w:rPr>
              <w:t xml:space="preserve">70+ </w:t>
            </w:r>
            <w:proofErr w:type="spellStart"/>
            <w:r w:rsidRPr="00DF7E62">
              <w:rPr>
                <w:b/>
              </w:rPr>
              <w:t>ετών</w:t>
            </w:r>
            <w:proofErr w:type="spellEnd"/>
          </w:p>
        </w:tc>
        <w:tc>
          <w:tcPr>
            <w:tcW w:w="1295" w:type="dxa"/>
            <w:tcBorders>
              <w:top w:val="single" w:sz="4" w:space="0" w:color="auto"/>
            </w:tcBorders>
            <w:vAlign w:val="center"/>
          </w:tcPr>
          <w:p w14:paraId="544965E1" w14:textId="77777777" w:rsidR="005C18B1" w:rsidRPr="00AD258D" w:rsidRDefault="005C18B1" w:rsidP="005C18B1">
            <w:pPr>
              <w:spacing w:line="360" w:lineRule="auto"/>
              <w:jc w:val="center"/>
              <w:rPr>
                <w:rFonts w:eastAsia="Calibri"/>
                <w:b/>
              </w:rPr>
            </w:pPr>
            <w:r w:rsidRPr="00AD258D">
              <w:rPr>
                <w:rFonts w:eastAsia="Calibri"/>
                <w:b/>
                <w:lang w:val="en-US"/>
              </w:rPr>
              <w:t xml:space="preserve">Kruskal-Wallis </w:t>
            </w:r>
            <w:r w:rsidRPr="00AD258D">
              <w:rPr>
                <w:rFonts w:eastAsia="Calibri"/>
                <w:b/>
                <w:i/>
                <w:lang w:val="en-US"/>
              </w:rPr>
              <w:t>H</w:t>
            </w:r>
          </w:p>
        </w:tc>
        <w:tc>
          <w:tcPr>
            <w:tcW w:w="821" w:type="dxa"/>
            <w:tcBorders>
              <w:top w:val="single" w:sz="4" w:space="0" w:color="auto"/>
            </w:tcBorders>
            <w:vAlign w:val="center"/>
          </w:tcPr>
          <w:p w14:paraId="1ED64E0B" w14:textId="77777777" w:rsidR="005C18B1" w:rsidRPr="00AD258D" w:rsidRDefault="005C18B1" w:rsidP="002E3503">
            <w:pPr>
              <w:spacing w:line="360" w:lineRule="auto"/>
              <w:jc w:val="center"/>
              <w:rPr>
                <w:rFonts w:eastAsia="Calibri"/>
                <w:b/>
                <w:lang w:val="en-US"/>
              </w:rPr>
            </w:pPr>
            <w:r w:rsidRPr="00AD258D">
              <w:rPr>
                <w:rFonts w:eastAsia="Calibri"/>
                <w:b/>
                <w:i/>
                <w:lang w:val="en-US"/>
              </w:rPr>
              <w:t>P</w:t>
            </w:r>
            <w:r w:rsidRPr="00AD258D">
              <w:rPr>
                <w:rFonts w:eastAsia="Calibri"/>
                <w:b/>
                <w:lang w:val="en-US"/>
              </w:rPr>
              <w:t xml:space="preserve"> level</w:t>
            </w:r>
          </w:p>
        </w:tc>
      </w:tr>
      <w:tr w:rsidR="0047222F" w:rsidRPr="00AB5367" w14:paraId="02F44B32" w14:textId="77777777" w:rsidTr="00FB35F9">
        <w:trPr>
          <w:trHeight w:val="409"/>
          <w:jc w:val="center"/>
        </w:trPr>
        <w:tc>
          <w:tcPr>
            <w:tcW w:w="680" w:type="dxa"/>
            <w:tcBorders>
              <w:top w:val="single" w:sz="4" w:space="0" w:color="auto"/>
            </w:tcBorders>
            <w:vAlign w:val="center"/>
          </w:tcPr>
          <w:p w14:paraId="33B76059" w14:textId="77777777" w:rsidR="0047222F" w:rsidRPr="00AB5367" w:rsidRDefault="0047222F" w:rsidP="002E3503">
            <w:pPr>
              <w:spacing w:line="360" w:lineRule="auto"/>
              <w:jc w:val="right"/>
              <w:rPr>
                <w:rFonts w:eastAsia="Calibri"/>
                <w:b/>
                <w:lang w:val="en-US"/>
              </w:rPr>
            </w:pPr>
            <w:r w:rsidRPr="00AB5367">
              <w:rPr>
                <w:rFonts w:eastAsia="Calibri"/>
                <w:b/>
                <w:lang w:val="en-US"/>
              </w:rPr>
              <w:t>Q1</w:t>
            </w:r>
          </w:p>
        </w:tc>
        <w:tc>
          <w:tcPr>
            <w:tcW w:w="962" w:type="dxa"/>
            <w:tcBorders>
              <w:top w:val="single" w:sz="4" w:space="0" w:color="auto"/>
            </w:tcBorders>
            <w:vAlign w:val="center"/>
          </w:tcPr>
          <w:p w14:paraId="1CF81784" w14:textId="77777777" w:rsidR="0047222F" w:rsidRPr="00AB5367" w:rsidRDefault="0047222F" w:rsidP="002E3503">
            <w:pPr>
              <w:spacing w:line="360" w:lineRule="auto"/>
              <w:jc w:val="center"/>
            </w:pPr>
            <w:r w:rsidRPr="00A01B51">
              <w:t>145.90</w:t>
            </w:r>
          </w:p>
        </w:tc>
        <w:tc>
          <w:tcPr>
            <w:tcW w:w="963" w:type="dxa"/>
            <w:tcBorders>
              <w:top w:val="single" w:sz="4" w:space="0" w:color="auto"/>
            </w:tcBorders>
            <w:vAlign w:val="center"/>
          </w:tcPr>
          <w:p w14:paraId="74AAECFB" w14:textId="77777777" w:rsidR="0047222F" w:rsidRPr="00AB5367" w:rsidRDefault="0047222F" w:rsidP="002E3503">
            <w:pPr>
              <w:spacing w:line="360" w:lineRule="auto"/>
              <w:jc w:val="center"/>
            </w:pPr>
            <w:r w:rsidRPr="00A01B51">
              <w:t>169.63</w:t>
            </w:r>
          </w:p>
        </w:tc>
        <w:tc>
          <w:tcPr>
            <w:tcW w:w="964" w:type="dxa"/>
            <w:tcBorders>
              <w:top w:val="single" w:sz="4" w:space="0" w:color="auto"/>
            </w:tcBorders>
            <w:vAlign w:val="center"/>
          </w:tcPr>
          <w:p w14:paraId="5C5244B4" w14:textId="77777777" w:rsidR="0047222F" w:rsidRPr="00AB5367" w:rsidRDefault="0047222F" w:rsidP="002E3503">
            <w:pPr>
              <w:spacing w:line="360" w:lineRule="auto"/>
              <w:jc w:val="center"/>
            </w:pPr>
            <w:r w:rsidRPr="00A01B51">
              <w:t>169.63</w:t>
            </w:r>
          </w:p>
        </w:tc>
        <w:tc>
          <w:tcPr>
            <w:tcW w:w="914" w:type="dxa"/>
            <w:tcBorders>
              <w:top w:val="single" w:sz="4" w:space="0" w:color="auto"/>
            </w:tcBorders>
            <w:vAlign w:val="center"/>
          </w:tcPr>
          <w:p w14:paraId="5B22A067" w14:textId="77777777" w:rsidR="0047222F" w:rsidRPr="00AB5367" w:rsidRDefault="0047222F" w:rsidP="002E3503">
            <w:pPr>
              <w:spacing w:line="360" w:lineRule="auto"/>
              <w:jc w:val="center"/>
            </w:pPr>
            <w:r w:rsidRPr="00A01B51">
              <w:t>194.82</w:t>
            </w:r>
          </w:p>
        </w:tc>
        <w:tc>
          <w:tcPr>
            <w:tcW w:w="1014" w:type="dxa"/>
            <w:tcBorders>
              <w:top w:val="single" w:sz="4" w:space="0" w:color="auto"/>
            </w:tcBorders>
            <w:vAlign w:val="center"/>
          </w:tcPr>
          <w:p w14:paraId="5A7088A7" w14:textId="77777777" w:rsidR="0047222F" w:rsidRPr="00AB5367" w:rsidRDefault="0047222F" w:rsidP="002E3503">
            <w:pPr>
              <w:spacing w:line="360" w:lineRule="auto"/>
              <w:jc w:val="center"/>
            </w:pPr>
            <w:r w:rsidRPr="00A01B51">
              <w:t>190.40</w:t>
            </w:r>
          </w:p>
        </w:tc>
        <w:tc>
          <w:tcPr>
            <w:tcW w:w="890" w:type="dxa"/>
            <w:tcBorders>
              <w:top w:val="single" w:sz="4" w:space="0" w:color="auto"/>
            </w:tcBorders>
            <w:vAlign w:val="center"/>
          </w:tcPr>
          <w:p w14:paraId="2A374476" w14:textId="77777777" w:rsidR="0047222F" w:rsidRPr="00AB5367" w:rsidRDefault="0047222F" w:rsidP="002E3503">
            <w:pPr>
              <w:spacing w:line="360" w:lineRule="auto"/>
              <w:jc w:val="center"/>
            </w:pPr>
            <w:r w:rsidRPr="00A01B51">
              <w:t>212.62</w:t>
            </w:r>
          </w:p>
        </w:tc>
        <w:tc>
          <w:tcPr>
            <w:tcW w:w="1295" w:type="dxa"/>
            <w:tcBorders>
              <w:top w:val="single" w:sz="4" w:space="0" w:color="auto"/>
            </w:tcBorders>
            <w:vAlign w:val="center"/>
          </w:tcPr>
          <w:p w14:paraId="254A3BE2" w14:textId="77777777" w:rsidR="0047222F" w:rsidRPr="00AB5367" w:rsidRDefault="0047222F" w:rsidP="002E3503">
            <w:pPr>
              <w:spacing w:line="360" w:lineRule="auto"/>
              <w:jc w:val="center"/>
            </w:pPr>
            <w:r w:rsidRPr="00BB2547">
              <w:t>27.796</w:t>
            </w:r>
          </w:p>
        </w:tc>
        <w:tc>
          <w:tcPr>
            <w:tcW w:w="821" w:type="dxa"/>
            <w:tcBorders>
              <w:top w:val="single" w:sz="4" w:space="0" w:color="auto"/>
            </w:tcBorders>
          </w:tcPr>
          <w:p w14:paraId="2BE81EDA" w14:textId="77777777" w:rsidR="0047222F" w:rsidRPr="00AB5367" w:rsidRDefault="0047222F" w:rsidP="002E3503">
            <w:pPr>
              <w:spacing w:line="360" w:lineRule="auto"/>
              <w:jc w:val="center"/>
            </w:pPr>
            <w:r w:rsidRPr="00AB5367">
              <w:t>.000</w:t>
            </w:r>
            <w:r>
              <w:t>*</w:t>
            </w:r>
          </w:p>
        </w:tc>
      </w:tr>
      <w:tr w:rsidR="00036EA9" w:rsidRPr="00AB5367" w14:paraId="1AE11F4D" w14:textId="77777777" w:rsidTr="00FB35F9">
        <w:trPr>
          <w:jc w:val="center"/>
        </w:trPr>
        <w:tc>
          <w:tcPr>
            <w:tcW w:w="680" w:type="dxa"/>
            <w:vAlign w:val="center"/>
          </w:tcPr>
          <w:p w14:paraId="70F560E7" w14:textId="77777777" w:rsidR="00036EA9" w:rsidRPr="00AB5367" w:rsidRDefault="00036EA9" w:rsidP="002E3503">
            <w:pPr>
              <w:spacing w:line="360" w:lineRule="auto"/>
              <w:jc w:val="right"/>
              <w:rPr>
                <w:rFonts w:eastAsia="Calibri"/>
                <w:b/>
                <w:lang w:val="en-US"/>
              </w:rPr>
            </w:pPr>
            <w:r w:rsidRPr="00AB5367">
              <w:rPr>
                <w:rFonts w:eastAsia="Calibri"/>
                <w:b/>
                <w:lang w:val="en-US"/>
              </w:rPr>
              <w:t>Q2</w:t>
            </w:r>
          </w:p>
        </w:tc>
        <w:tc>
          <w:tcPr>
            <w:tcW w:w="962" w:type="dxa"/>
            <w:vAlign w:val="center"/>
          </w:tcPr>
          <w:p w14:paraId="1093706A" w14:textId="77777777" w:rsidR="00036EA9" w:rsidRPr="00AB5367" w:rsidRDefault="00036EA9" w:rsidP="002E3503">
            <w:pPr>
              <w:spacing w:line="360" w:lineRule="auto"/>
              <w:jc w:val="center"/>
            </w:pPr>
            <w:r w:rsidRPr="00A01B51">
              <w:t>156.50</w:t>
            </w:r>
          </w:p>
        </w:tc>
        <w:tc>
          <w:tcPr>
            <w:tcW w:w="963" w:type="dxa"/>
            <w:vAlign w:val="center"/>
          </w:tcPr>
          <w:p w14:paraId="034C4BAF" w14:textId="77777777" w:rsidR="00036EA9" w:rsidRPr="00AB5367" w:rsidRDefault="00036EA9" w:rsidP="002E3503">
            <w:pPr>
              <w:spacing w:line="360" w:lineRule="auto"/>
              <w:jc w:val="center"/>
            </w:pPr>
            <w:r w:rsidRPr="00A01B51">
              <w:t>171.42</w:t>
            </w:r>
          </w:p>
        </w:tc>
        <w:tc>
          <w:tcPr>
            <w:tcW w:w="964" w:type="dxa"/>
            <w:vAlign w:val="center"/>
          </w:tcPr>
          <w:p w14:paraId="21001C64" w14:textId="77777777" w:rsidR="00036EA9" w:rsidRPr="00AB5367" w:rsidRDefault="00036EA9" w:rsidP="002E3503">
            <w:pPr>
              <w:spacing w:line="360" w:lineRule="auto"/>
              <w:jc w:val="center"/>
            </w:pPr>
            <w:r w:rsidRPr="00A01B51">
              <w:t>174.40</w:t>
            </w:r>
          </w:p>
        </w:tc>
        <w:tc>
          <w:tcPr>
            <w:tcW w:w="914" w:type="dxa"/>
            <w:vAlign w:val="center"/>
          </w:tcPr>
          <w:p w14:paraId="1C4DFB6E" w14:textId="77777777" w:rsidR="00036EA9" w:rsidRPr="00AB5367" w:rsidRDefault="00036EA9" w:rsidP="002E3503">
            <w:pPr>
              <w:spacing w:line="360" w:lineRule="auto"/>
              <w:jc w:val="center"/>
            </w:pPr>
            <w:r w:rsidRPr="00A01B51">
              <w:t>189.32</w:t>
            </w:r>
          </w:p>
        </w:tc>
        <w:tc>
          <w:tcPr>
            <w:tcW w:w="1014" w:type="dxa"/>
            <w:vAlign w:val="center"/>
          </w:tcPr>
          <w:p w14:paraId="76B35FEF" w14:textId="77777777" w:rsidR="00036EA9" w:rsidRPr="00AB5367" w:rsidRDefault="00036EA9" w:rsidP="002E3503">
            <w:pPr>
              <w:spacing w:line="360" w:lineRule="auto"/>
              <w:jc w:val="center"/>
            </w:pPr>
            <w:r w:rsidRPr="00A01B51">
              <w:t>186.73</w:t>
            </w:r>
          </w:p>
        </w:tc>
        <w:tc>
          <w:tcPr>
            <w:tcW w:w="890" w:type="dxa"/>
            <w:vAlign w:val="center"/>
          </w:tcPr>
          <w:p w14:paraId="5A743DC6" w14:textId="77777777" w:rsidR="00036EA9" w:rsidRPr="00AB5367" w:rsidRDefault="00036EA9" w:rsidP="002E3503">
            <w:pPr>
              <w:spacing w:line="360" w:lineRule="auto"/>
              <w:jc w:val="center"/>
            </w:pPr>
            <w:r w:rsidRPr="00A01B51">
              <w:t>204.63</w:t>
            </w:r>
          </w:p>
        </w:tc>
        <w:tc>
          <w:tcPr>
            <w:tcW w:w="1295" w:type="dxa"/>
            <w:vAlign w:val="center"/>
          </w:tcPr>
          <w:p w14:paraId="3872A8C6" w14:textId="77777777" w:rsidR="00036EA9" w:rsidRPr="00AB5367" w:rsidRDefault="00036EA9" w:rsidP="002E3503">
            <w:pPr>
              <w:spacing w:line="360" w:lineRule="auto"/>
              <w:jc w:val="center"/>
            </w:pPr>
            <w:r w:rsidRPr="00BB2547">
              <w:t>22.271</w:t>
            </w:r>
          </w:p>
        </w:tc>
        <w:tc>
          <w:tcPr>
            <w:tcW w:w="821" w:type="dxa"/>
          </w:tcPr>
          <w:p w14:paraId="21C19796" w14:textId="77777777" w:rsidR="00036EA9" w:rsidRPr="00AB5367" w:rsidRDefault="00036EA9" w:rsidP="002E3503">
            <w:pPr>
              <w:spacing w:line="360" w:lineRule="auto"/>
              <w:jc w:val="center"/>
            </w:pPr>
            <w:r w:rsidRPr="00AB5367">
              <w:t>.000</w:t>
            </w:r>
            <w:r>
              <w:t>*</w:t>
            </w:r>
          </w:p>
        </w:tc>
      </w:tr>
      <w:tr w:rsidR="00036EA9" w:rsidRPr="00AB5367" w14:paraId="31A27CB2" w14:textId="77777777" w:rsidTr="00FB35F9">
        <w:trPr>
          <w:jc w:val="center"/>
        </w:trPr>
        <w:tc>
          <w:tcPr>
            <w:tcW w:w="680" w:type="dxa"/>
            <w:vAlign w:val="center"/>
          </w:tcPr>
          <w:p w14:paraId="497A7D3A" w14:textId="77777777" w:rsidR="00036EA9" w:rsidRPr="00AB5367" w:rsidRDefault="00036EA9" w:rsidP="002E3503">
            <w:pPr>
              <w:spacing w:line="360" w:lineRule="auto"/>
              <w:jc w:val="right"/>
              <w:rPr>
                <w:rFonts w:eastAsia="Calibri"/>
                <w:b/>
                <w:lang w:val="en-US"/>
              </w:rPr>
            </w:pPr>
            <w:r>
              <w:rPr>
                <w:rFonts w:eastAsia="Calibri"/>
                <w:b/>
                <w:lang w:val="en-US"/>
              </w:rPr>
              <w:t>Q2b</w:t>
            </w:r>
          </w:p>
        </w:tc>
        <w:tc>
          <w:tcPr>
            <w:tcW w:w="962" w:type="dxa"/>
            <w:vAlign w:val="center"/>
          </w:tcPr>
          <w:p w14:paraId="7B22F302" w14:textId="77777777" w:rsidR="00036EA9" w:rsidRPr="00AB5367" w:rsidRDefault="00036EA9" w:rsidP="002E3503">
            <w:pPr>
              <w:spacing w:line="360" w:lineRule="auto"/>
              <w:jc w:val="center"/>
            </w:pPr>
            <w:r w:rsidRPr="00A01B51">
              <w:t>151.27</w:t>
            </w:r>
          </w:p>
        </w:tc>
        <w:tc>
          <w:tcPr>
            <w:tcW w:w="963" w:type="dxa"/>
            <w:vAlign w:val="center"/>
          </w:tcPr>
          <w:p w14:paraId="06D184DF" w14:textId="77777777" w:rsidR="00036EA9" w:rsidRPr="00AB5367" w:rsidRDefault="00036EA9" w:rsidP="002E3503">
            <w:pPr>
              <w:spacing w:line="360" w:lineRule="auto"/>
              <w:jc w:val="center"/>
            </w:pPr>
            <w:r w:rsidRPr="00A01B51">
              <w:t>168.92</w:t>
            </w:r>
          </w:p>
        </w:tc>
        <w:tc>
          <w:tcPr>
            <w:tcW w:w="964" w:type="dxa"/>
            <w:vAlign w:val="center"/>
          </w:tcPr>
          <w:p w14:paraId="2EE31D47" w14:textId="77777777" w:rsidR="00036EA9" w:rsidRPr="00AB5367" w:rsidRDefault="00036EA9" w:rsidP="002E3503">
            <w:pPr>
              <w:spacing w:line="360" w:lineRule="auto"/>
              <w:jc w:val="center"/>
            </w:pPr>
            <w:r w:rsidRPr="00A01B51">
              <w:t>175.48</w:t>
            </w:r>
          </w:p>
        </w:tc>
        <w:tc>
          <w:tcPr>
            <w:tcW w:w="914" w:type="dxa"/>
            <w:vAlign w:val="center"/>
          </w:tcPr>
          <w:p w14:paraId="59E70475" w14:textId="77777777" w:rsidR="00036EA9" w:rsidRPr="00AB5367" w:rsidRDefault="00036EA9" w:rsidP="002E3503">
            <w:pPr>
              <w:spacing w:line="360" w:lineRule="auto"/>
              <w:jc w:val="center"/>
            </w:pPr>
            <w:r w:rsidRPr="00A01B51">
              <w:t>192.45</w:t>
            </w:r>
          </w:p>
        </w:tc>
        <w:tc>
          <w:tcPr>
            <w:tcW w:w="1014" w:type="dxa"/>
            <w:vAlign w:val="center"/>
          </w:tcPr>
          <w:p w14:paraId="0EA2EA47" w14:textId="77777777" w:rsidR="00036EA9" w:rsidRPr="00AB5367" w:rsidRDefault="00036EA9" w:rsidP="002E3503">
            <w:pPr>
              <w:spacing w:line="360" w:lineRule="auto"/>
              <w:jc w:val="center"/>
            </w:pPr>
            <w:r w:rsidRPr="00A01B51">
              <w:t>189.30</w:t>
            </w:r>
          </w:p>
        </w:tc>
        <w:tc>
          <w:tcPr>
            <w:tcW w:w="890" w:type="dxa"/>
            <w:vAlign w:val="center"/>
          </w:tcPr>
          <w:p w14:paraId="1B025D3E" w14:textId="77777777" w:rsidR="00036EA9" w:rsidRPr="00AB5367" w:rsidRDefault="00036EA9" w:rsidP="002E3503">
            <w:pPr>
              <w:spacing w:line="360" w:lineRule="auto"/>
              <w:jc w:val="center"/>
            </w:pPr>
            <w:r w:rsidRPr="00A01B51">
              <w:t>205.58</w:t>
            </w:r>
          </w:p>
        </w:tc>
        <w:tc>
          <w:tcPr>
            <w:tcW w:w="1295" w:type="dxa"/>
            <w:vAlign w:val="center"/>
          </w:tcPr>
          <w:p w14:paraId="44BFD6E2" w14:textId="77777777" w:rsidR="00036EA9" w:rsidRPr="00AB5367" w:rsidRDefault="00036EA9" w:rsidP="002E3503">
            <w:pPr>
              <w:spacing w:line="360" w:lineRule="auto"/>
              <w:jc w:val="center"/>
            </w:pPr>
            <w:r w:rsidRPr="00BB2547">
              <w:t>19.461</w:t>
            </w:r>
          </w:p>
        </w:tc>
        <w:tc>
          <w:tcPr>
            <w:tcW w:w="821" w:type="dxa"/>
          </w:tcPr>
          <w:p w14:paraId="0EA38142" w14:textId="77777777" w:rsidR="00036EA9" w:rsidRPr="00AB5367" w:rsidRDefault="00036EA9" w:rsidP="002E3503">
            <w:pPr>
              <w:spacing w:line="360" w:lineRule="auto"/>
              <w:jc w:val="center"/>
            </w:pPr>
            <w:r>
              <w:t>.002*</w:t>
            </w:r>
          </w:p>
        </w:tc>
      </w:tr>
      <w:tr w:rsidR="00036EA9" w:rsidRPr="00AB5367" w14:paraId="55BF6917" w14:textId="77777777" w:rsidTr="00FB35F9">
        <w:trPr>
          <w:jc w:val="center"/>
        </w:trPr>
        <w:tc>
          <w:tcPr>
            <w:tcW w:w="680" w:type="dxa"/>
            <w:vAlign w:val="center"/>
          </w:tcPr>
          <w:p w14:paraId="41968996" w14:textId="77777777" w:rsidR="00036EA9" w:rsidRPr="00AB5367" w:rsidRDefault="00036EA9" w:rsidP="002E3503">
            <w:pPr>
              <w:spacing w:line="360" w:lineRule="auto"/>
              <w:jc w:val="right"/>
              <w:rPr>
                <w:rFonts w:eastAsia="Calibri"/>
                <w:b/>
                <w:lang w:val="en-US"/>
              </w:rPr>
            </w:pPr>
            <w:r>
              <w:rPr>
                <w:rFonts w:eastAsia="Calibri"/>
                <w:b/>
                <w:lang w:val="en-US"/>
              </w:rPr>
              <w:t>Q3</w:t>
            </w:r>
          </w:p>
        </w:tc>
        <w:tc>
          <w:tcPr>
            <w:tcW w:w="962" w:type="dxa"/>
            <w:vAlign w:val="center"/>
          </w:tcPr>
          <w:p w14:paraId="47291FED" w14:textId="77777777" w:rsidR="00036EA9" w:rsidRPr="00AB5367" w:rsidRDefault="00036EA9" w:rsidP="002E3503">
            <w:pPr>
              <w:spacing w:line="360" w:lineRule="auto"/>
              <w:jc w:val="center"/>
            </w:pPr>
            <w:r w:rsidRPr="00A01B51">
              <w:t>171.99</w:t>
            </w:r>
          </w:p>
        </w:tc>
        <w:tc>
          <w:tcPr>
            <w:tcW w:w="963" w:type="dxa"/>
            <w:vAlign w:val="center"/>
          </w:tcPr>
          <w:p w14:paraId="0FBA982C" w14:textId="77777777" w:rsidR="00036EA9" w:rsidRPr="00AB5367" w:rsidRDefault="00036EA9" w:rsidP="002E3503">
            <w:pPr>
              <w:spacing w:line="360" w:lineRule="auto"/>
              <w:jc w:val="center"/>
            </w:pPr>
            <w:r w:rsidRPr="00A01B51">
              <w:t>177.98</w:t>
            </w:r>
          </w:p>
        </w:tc>
        <w:tc>
          <w:tcPr>
            <w:tcW w:w="964" w:type="dxa"/>
            <w:vAlign w:val="center"/>
          </w:tcPr>
          <w:p w14:paraId="046C97FF" w14:textId="77777777" w:rsidR="00036EA9" w:rsidRPr="00AB5367" w:rsidRDefault="00036EA9" w:rsidP="002E3503">
            <w:pPr>
              <w:spacing w:line="360" w:lineRule="auto"/>
              <w:jc w:val="center"/>
            </w:pPr>
            <w:r w:rsidRPr="00A01B51">
              <w:t>186.95</w:t>
            </w:r>
          </w:p>
        </w:tc>
        <w:tc>
          <w:tcPr>
            <w:tcW w:w="914" w:type="dxa"/>
            <w:vAlign w:val="center"/>
          </w:tcPr>
          <w:p w14:paraId="550FB41A" w14:textId="77777777" w:rsidR="00036EA9" w:rsidRPr="00AB5367" w:rsidRDefault="00036EA9" w:rsidP="002E3503">
            <w:pPr>
              <w:spacing w:line="360" w:lineRule="auto"/>
              <w:jc w:val="center"/>
            </w:pPr>
            <w:r w:rsidRPr="00A01B51">
              <w:t>174.98</w:t>
            </w:r>
          </w:p>
        </w:tc>
        <w:tc>
          <w:tcPr>
            <w:tcW w:w="1014" w:type="dxa"/>
            <w:vAlign w:val="center"/>
          </w:tcPr>
          <w:p w14:paraId="567D3890" w14:textId="77777777" w:rsidR="00036EA9" w:rsidRPr="00AB5367" w:rsidRDefault="00036EA9" w:rsidP="002E3503">
            <w:pPr>
              <w:spacing w:line="360" w:lineRule="auto"/>
              <w:jc w:val="center"/>
            </w:pPr>
            <w:r w:rsidRPr="00A01B51">
              <w:t>177.98</w:t>
            </w:r>
          </w:p>
        </w:tc>
        <w:tc>
          <w:tcPr>
            <w:tcW w:w="890" w:type="dxa"/>
            <w:vAlign w:val="center"/>
          </w:tcPr>
          <w:p w14:paraId="1CEFD477" w14:textId="77777777" w:rsidR="00036EA9" w:rsidRPr="00AB5367" w:rsidRDefault="00036EA9" w:rsidP="002E3503">
            <w:pPr>
              <w:spacing w:line="360" w:lineRule="auto"/>
              <w:jc w:val="center"/>
            </w:pPr>
            <w:r w:rsidRPr="00A01B51">
              <w:t>193.13</w:t>
            </w:r>
          </w:p>
        </w:tc>
        <w:tc>
          <w:tcPr>
            <w:tcW w:w="1295" w:type="dxa"/>
            <w:vAlign w:val="center"/>
          </w:tcPr>
          <w:p w14:paraId="37B69F24" w14:textId="77777777" w:rsidR="00036EA9" w:rsidRPr="00AB5367" w:rsidRDefault="00036EA9" w:rsidP="002E3503">
            <w:pPr>
              <w:spacing w:line="360" w:lineRule="auto"/>
              <w:jc w:val="center"/>
            </w:pPr>
            <w:r w:rsidRPr="00BB2547">
              <w:t>9.773</w:t>
            </w:r>
          </w:p>
        </w:tc>
        <w:tc>
          <w:tcPr>
            <w:tcW w:w="821" w:type="dxa"/>
          </w:tcPr>
          <w:p w14:paraId="7403ED9C" w14:textId="77777777" w:rsidR="00036EA9" w:rsidRPr="00AB5367" w:rsidRDefault="00036EA9" w:rsidP="002E3503">
            <w:pPr>
              <w:spacing w:line="360" w:lineRule="auto"/>
              <w:jc w:val="center"/>
            </w:pPr>
            <w:r>
              <w:t>.082</w:t>
            </w:r>
          </w:p>
        </w:tc>
      </w:tr>
      <w:tr w:rsidR="00036EA9" w:rsidRPr="00AB5367" w14:paraId="1CC9D2D0" w14:textId="77777777" w:rsidTr="00FB35F9">
        <w:trPr>
          <w:jc w:val="center"/>
        </w:trPr>
        <w:tc>
          <w:tcPr>
            <w:tcW w:w="680" w:type="dxa"/>
            <w:vAlign w:val="center"/>
          </w:tcPr>
          <w:p w14:paraId="2B2F7518" w14:textId="77777777" w:rsidR="00036EA9" w:rsidRPr="00AB5367" w:rsidRDefault="00036EA9" w:rsidP="002E3503">
            <w:pPr>
              <w:spacing w:line="360" w:lineRule="auto"/>
              <w:jc w:val="right"/>
              <w:rPr>
                <w:rFonts w:eastAsia="Calibri"/>
                <w:b/>
                <w:lang w:val="en-US"/>
              </w:rPr>
            </w:pPr>
            <w:r>
              <w:rPr>
                <w:rFonts w:eastAsia="Calibri"/>
                <w:b/>
                <w:lang w:val="en-US"/>
              </w:rPr>
              <w:t>Q3b</w:t>
            </w:r>
          </w:p>
        </w:tc>
        <w:tc>
          <w:tcPr>
            <w:tcW w:w="962" w:type="dxa"/>
            <w:vAlign w:val="center"/>
          </w:tcPr>
          <w:p w14:paraId="56ABD61C" w14:textId="77777777" w:rsidR="00036EA9" w:rsidRPr="00AB5367" w:rsidRDefault="00036EA9" w:rsidP="00A01B51">
            <w:pPr>
              <w:spacing w:line="360" w:lineRule="auto"/>
              <w:jc w:val="center"/>
            </w:pPr>
            <w:r w:rsidRPr="00A01B51">
              <w:t>158.00</w:t>
            </w:r>
          </w:p>
        </w:tc>
        <w:tc>
          <w:tcPr>
            <w:tcW w:w="963" w:type="dxa"/>
            <w:vAlign w:val="center"/>
          </w:tcPr>
          <w:p w14:paraId="1941D973" w14:textId="77777777" w:rsidR="00036EA9" w:rsidRPr="00AB5367" w:rsidRDefault="00036EA9" w:rsidP="00A01B51">
            <w:pPr>
              <w:spacing w:line="360" w:lineRule="auto"/>
              <w:jc w:val="center"/>
            </w:pPr>
            <w:r w:rsidRPr="00A01B51">
              <w:t>178.83</w:t>
            </w:r>
          </w:p>
        </w:tc>
        <w:tc>
          <w:tcPr>
            <w:tcW w:w="964" w:type="dxa"/>
            <w:vAlign w:val="center"/>
          </w:tcPr>
          <w:p w14:paraId="0E3FCC20" w14:textId="77777777" w:rsidR="00036EA9" w:rsidRPr="00AB5367" w:rsidRDefault="00036EA9" w:rsidP="00A01B51">
            <w:pPr>
              <w:spacing w:line="360" w:lineRule="auto"/>
              <w:jc w:val="center"/>
            </w:pPr>
            <w:r w:rsidRPr="00A01B51">
              <w:t>184.78</w:t>
            </w:r>
          </w:p>
        </w:tc>
        <w:tc>
          <w:tcPr>
            <w:tcW w:w="914" w:type="dxa"/>
            <w:vAlign w:val="center"/>
          </w:tcPr>
          <w:p w14:paraId="408695B5" w14:textId="77777777" w:rsidR="00036EA9" w:rsidRPr="00AB5367" w:rsidRDefault="00036EA9" w:rsidP="00A01B51">
            <w:pPr>
              <w:spacing w:line="360" w:lineRule="auto"/>
              <w:jc w:val="center"/>
            </w:pPr>
            <w:r w:rsidRPr="00A01B51">
              <w:t>181.80</w:t>
            </w:r>
          </w:p>
        </w:tc>
        <w:tc>
          <w:tcPr>
            <w:tcW w:w="1014" w:type="dxa"/>
            <w:vAlign w:val="center"/>
          </w:tcPr>
          <w:p w14:paraId="062A0F6F" w14:textId="77777777" w:rsidR="00036EA9" w:rsidRPr="00AB5367" w:rsidRDefault="00036EA9" w:rsidP="00A01B51">
            <w:pPr>
              <w:spacing w:line="360" w:lineRule="auto"/>
              <w:jc w:val="center"/>
            </w:pPr>
            <w:r w:rsidRPr="00A01B51">
              <w:t>188.50</w:t>
            </w:r>
          </w:p>
        </w:tc>
        <w:tc>
          <w:tcPr>
            <w:tcW w:w="890" w:type="dxa"/>
            <w:vAlign w:val="center"/>
          </w:tcPr>
          <w:p w14:paraId="169EBE2A" w14:textId="77777777" w:rsidR="00036EA9" w:rsidRPr="00AB5367" w:rsidRDefault="00036EA9" w:rsidP="00A01B51">
            <w:pPr>
              <w:spacing w:line="360" w:lineRule="auto"/>
              <w:jc w:val="center"/>
            </w:pPr>
            <w:r w:rsidRPr="00A01B51">
              <w:t>191.10</w:t>
            </w:r>
          </w:p>
        </w:tc>
        <w:tc>
          <w:tcPr>
            <w:tcW w:w="1295" w:type="dxa"/>
            <w:vAlign w:val="center"/>
          </w:tcPr>
          <w:p w14:paraId="62F20482" w14:textId="77777777" w:rsidR="00036EA9" w:rsidRPr="00AB5367" w:rsidRDefault="00036EA9" w:rsidP="002E3503">
            <w:pPr>
              <w:spacing w:line="360" w:lineRule="auto"/>
              <w:jc w:val="center"/>
            </w:pPr>
            <w:r w:rsidRPr="00BB2547">
              <w:t>11.897</w:t>
            </w:r>
          </w:p>
        </w:tc>
        <w:tc>
          <w:tcPr>
            <w:tcW w:w="821" w:type="dxa"/>
          </w:tcPr>
          <w:p w14:paraId="79A3D25A" w14:textId="77777777" w:rsidR="00036EA9" w:rsidRPr="00AB5367" w:rsidRDefault="00036EA9" w:rsidP="002E3503">
            <w:pPr>
              <w:spacing w:line="360" w:lineRule="auto"/>
              <w:jc w:val="center"/>
            </w:pPr>
            <w:r>
              <w:t>.032</w:t>
            </w:r>
          </w:p>
        </w:tc>
      </w:tr>
      <w:tr w:rsidR="00036EA9" w:rsidRPr="00AB5367" w14:paraId="565E121A" w14:textId="77777777" w:rsidTr="00FB35F9">
        <w:trPr>
          <w:jc w:val="center"/>
        </w:trPr>
        <w:tc>
          <w:tcPr>
            <w:tcW w:w="680" w:type="dxa"/>
            <w:vAlign w:val="center"/>
          </w:tcPr>
          <w:p w14:paraId="05A942D1" w14:textId="77777777" w:rsidR="00036EA9" w:rsidRPr="00AB5367" w:rsidRDefault="00036EA9" w:rsidP="002E3503">
            <w:pPr>
              <w:spacing w:line="360" w:lineRule="auto"/>
              <w:jc w:val="right"/>
              <w:rPr>
                <w:rFonts w:eastAsia="Calibri"/>
                <w:b/>
                <w:lang w:val="en-US"/>
              </w:rPr>
            </w:pPr>
            <w:r>
              <w:rPr>
                <w:rFonts w:eastAsia="Calibri"/>
                <w:b/>
                <w:lang w:val="en-US"/>
              </w:rPr>
              <w:t>Q4</w:t>
            </w:r>
          </w:p>
        </w:tc>
        <w:tc>
          <w:tcPr>
            <w:tcW w:w="962" w:type="dxa"/>
            <w:vAlign w:val="center"/>
          </w:tcPr>
          <w:p w14:paraId="497509D1" w14:textId="77777777" w:rsidR="00036EA9" w:rsidRPr="00AB5367" w:rsidRDefault="00036EA9" w:rsidP="00A01B51">
            <w:pPr>
              <w:spacing w:line="360" w:lineRule="auto"/>
              <w:jc w:val="center"/>
            </w:pPr>
            <w:r w:rsidRPr="00A01B51">
              <w:t>176.98</w:t>
            </w:r>
          </w:p>
        </w:tc>
        <w:tc>
          <w:tcPr>
            <w:tcW w:w="963" w:type="dxa"/>
            <w:vAlign w:val="center"/>
          </w:tcPr>
          <w:p w14:paraId="2A06721D" w14:textId="77777777" w:rsidR="00036EA9" w:rsidRPr="00AB5367" w:rsidRDefault="00036EA9" w:rsidP="00A01B51">
            <w:pPr>
              <w:spacing w:line="360" w:lineRule="auto"/>
              <w:jc w:val="center"/>
            </w:pPr>
            <w:r w:rsidRPr="00A01B51">
              <w:t>176.98</w:t>
            </w:r>
          </w:p>
        </w:tc>
        <w:tc>
          <w:tcPr>
            <w:tcW w:w="964" w:type="dxa"/>
            <w:vAlign w:val="center"/>
          </w:tcPr>
          <w:p w14:paraId="54549E8C" w14:textId="77777777" w:rsidR="00036EA9" w:rsidRPr="00AB5367" w:rsidRDefault="00036EA9" w:rsidP="00A01B51">
            <w:pPr>
              <w:spacing w:line="360" w:lineRule="auto"/>
              <w:jc w:val="center"/>
            </w:pPr>
            <w:r w:rsidRPr="00A01B51">
              <w:t>179.98</w:t>
            </w:r>
          </w:p>
        </w:tc>
        <w:tc>
          <w:tcPr>
            <w:tcW w:w="914" w:type="dxa"/>
            <w:vAlign w:val="center"/>
          </w:tcPr>
          <w:p w14:paraId="4D533CCC" w14:textId="77777777" w:rsidR="00036EA9" w:rsidRPr="00AB5367" w:rsidRDefault="00036EA9" w:rsidP="00A01B51">
            <w:pPr>
              <w:spacing w:line="360" w:lineRule="auto"/>
              <w:jc w:val="center"/>
            </w:pPr>
            <w:r w:rsidRPr="00A01B51">
              <w:t>173.99</w:t>
            </w:r>
          </w:p>
        </w:tc>
        <w:tc>
          <w:tcPr>
            <w:tcW w:w="1014" w:type="dxa"/>
            <w:vAlign w:val="center"/>
          </w:tcPr>
          <w:p w14:paraId="0D503315" w14:textId="77777777" w:rsidR="00036EA9" w:rsidRPr="00AB5367" w:rsidRDefault="00036EA9" w:rsidP="00A01B51">
            <w:pPr>
              <w:spacing w:line="360" w:lineRule="auto"/>
              <w:jc w:val="center"/>
            </w:pPr>
            <w:r w:rsidRPr="00A01B51">
              <w:t>182.97</w:t>
            </w:r>
          </w:p>
        </w:tc>
        <w:tc>
          <w:tcPr>
            <w:tcW w:w="890" w:type="dxa"/>
            <w:vAlign w:val="center"/>
          </w:tcPr>
          <w:p w14:paraId="58C45F5B" w14:textId="77777777" w:rsidR="00036EA9" w:rsidRPr="00AB5367" w:rsidRDefault="00036EA9" w:rsidP="00A01B51">
            <w:pPr>
              <w:spacing w:line="360" w:lineRule="auto"/>
              <w:jc w:val="center"/>
            </w:pPr>
            <w:r w:rsidRPr="00A01B51">
              <w:t>192.10</w:t>
            </w:r>
          </w:p>
        </w:tc>
        <w:tc>
          <w:tcPr>
            <w:tcW w:w="1295" w:type="dxa"/>
            <w:vAlign w:val="center"/>
          </w:tcPr>
          <w:p w14:paraId="008AFEC7" w14:textId="77777777" w:rsidR="00036EA9" w:rsidRPr="00AB5367" w:rsidRDefault="00036EA9" w:rsidP="002E3503">
            <w:pPr>
              <w:spacing w:line="360" w:lineRule="auto"/>
              <w:jc w:val="center"/>
            </w:pPr>
            <w:r w:rsidRPr="00BB2547">
              <w:t>7.683</w:t>
            </w:r>
          </w:p>
        </w:tc>
        <w:tc>
          <w:tcPr>
            <w:tcW w:w="821" w:type="dxa"/>
          </w:tcPr>
          <w:p w14:paraId="6F5CCE2A" w14:textId="77777777" w:rsidR="00036EA9" w:rsidRPr="00AB5367" w:rsidRDefault="00036EA9" w:rsidP="002E3503">
            <w:pPr>
              <w:spacing w:line="360" w:lineRule="auto"/>
              <w:jc w:val="center"/>
            </w:pPr>
            <w:r>
              <w:t>.175</w:t>
            </w:r>
          </w:p>
        </w:tc>
      </w:tr>
      <w:tr w:rsidR="00036EA9" w:rsidRPr="00AB5367" w14:paraId="1F4C1B0A" w14:textId="77777777" w:rsidTr="00FB35F9">
        <w:trPr>
          <w:jc w:val="center"/>
        </w:trPr>
        <w:tc>
          <w:tcPr>
            <w:tcW w:w="680" w:type="dxa"/>
            <w:vAlign w:val="center"/>
          </w:tcPr>
          <w:p w14:paraId="71E94396" w14:textId="77777777" w:rsidR="00036EA9" w:rsidRPr="00AB5367" w:rsidRDefault="00036EA9" w:rsidP="002E3503">
            <w:pPr>
              <w:spacing w:line="360" w:lineRule="auto"/>
              <w:jc w:val="right"/>
              <w:rPr>
                <w:rFonts w:eastAsia="Calibri"/>
                <w:b/>
                <w:lang w:val="en-US"/>
              </w:rPr>
            </w:pPr>
            <w:r>
              <w:rPr>
                <w:rFonts w:eastAsia="Calibri"/>
                <w:b/>
                <w:lang w:val="en-US"/>
              </w:rPr>
              <w:t>Q4b</w:t>
            </w:r>
          </w:p>
        </w:tc>
        <w:tc>
          <w:tcPr>
            <w:tcW w:w="962" w:type="dxa"/>
            <w:vAlign w:val="center"/>
          </w:tcPr>
          <w:p w14:paraId="1CD2D106" w14:textId="77777777" w:rsidR="00036EA9" w:rsidRPr="00AB5367" w:rsidRDefault="00036EA9" w:rsidP="00A01B51">
            <w:pPr>
              <w:spacing w:line="360" w:lineRule="auto"/>
              <w:jc w:val="center"/>
            </w:pPr>
            <w:r w:rsidRPr="00A01B51">
              <w:t>170.98</w:t>
            </w:r>
          </w:p>
        </w:tc>
        <w:tc>
          <w:tcPr>
            <w:tcW w:w="963" w:type="dxa"/>
            <w:vAlign w:val="center"/>
          </w:tcPr>
          <w:p w14:paraId="5EA98CA6" w14:textId="77777777" w:rsidR="00036EA9" w:rsidRPr="00AB5367" w:rsidRDefault="00036EA9" w:rsidP="00A01B51">
            <w:pPr>
              <w:spacing w:line="360" w:lineRule="auto"/>
              <w:jc w:val="center"/>
            </w:pPr>
            <w:r w:rsidRPr="00A01B51">
              <w:t>170.98</w:t>
            </w:r>
          </w:p>
        </w:tc>
        <w:tc>
          <w:tcPr>
            <w:tcW w:w="964" w:type="dxa"/>
            <w:vAlign w:val="center"/>
          </w:tcPr>
          <w:p w14:paraId="2985A25C" w14:textId="77777777" w:rsidR="00036EA9" w:rsidRPr="00AB5367" w:rsidRDefault="00036EA9" w:rsidP="00A01B51">
            <w:pPr>
              <w:spacing w:line="360" w:lineRule="auto"/>
              <w:jc w:val="center"/>
            </w:pPr>
            <w:r w:rsidRPr="00A01B51">
              <w:t>182.88</w:t>
            </w:r>
          </w:p>
        </w:tc>
        <w:tc>
          <w:tcPr>
            <w:tcW w:w="914" w:type="dxa"/>
            <w:vAlign w:val="center"/>
          </w:tcPr>
          <w:p w14:paraId="06B26609" w14:textId="77777777" w:rsidR="00036EA9" w:rsidRPr="00AB5367" w:rsidRDefault="00036EA9" w:rsidP="00A01B51">
            <w:pPr>
              <w:spacing w:line="360" w:lineRule="auto"/>
              <w:jc w:val="center"/>
            </w:pPr>
            <w:r w:rsidRPr="00A01B51">
              <w:t>176.93</w:t>
            </w:r>
          </w:p>
        </w:tc>
        <w:tc>
          <w:tcPr>
            <w:tcW w:w="1014" w:type="dxa"/>
            <w:vAlign w:val="center"/>
          </w:tcPr>
          <w:p w14:paraId="05012D1B" w14:textId="77777777" w:rsidR="00036EA9" w:rsidRPr="00AB5367" w:rsidRDefault="00036EA9" w:rsidP="00A01B51">
            <w:pPr>
              <w:spacing w:line="360" w:lineRule="auto"/>
              <w:jc w:val="center"/>
            </w:pPr>
            <w:r w:rsidRPr="00A01B51">
              <w:t>192.01</w:t>
            </w:r>
          </w:p>
        </w:tc>
        <w:tc>
          <w:tcPr>
            <w:tcW w:w="890" w:type="dxa"/>
            <w:vAlign w:val="center"/>
          </w:tcPr>
          <w:p w14:paraId="192C2360" w14:textId="77777777" w:rsidR="00036EA9" w:rsidRPr="00AB5367" w:rsidRDefault="00036EA9" w:rsidP="00A01B51">
            <w:pPr>
              <w:spacing w:line="360" w:lineRule="auto"/>
              <w:jc w:val="center"/>
            </w:pPr>
            <w:r w:rsidRPr="00A01B51">
              <w:t>189.24</w:t>
            </w:r>
          </w:p>
        </w:tc>
        <w:tc>
          <w:tcPr>
            <w:tcW w:w="1295" w:type="dxa"/>
            <w:vAlign w:val="center"/>
          </w:tcPr>
          <w:p w14:paraId="4D55E70D" w14:textId="77777777" w:rsidR="00036EA9" w:rsidRPr="00AB5367" w:rsidRDefault="00036EA9" w:rsidP="002E3503">
            <w:pPr>
              <w:spacing w:line="360" w:lineRule="auto"/>
              <w:jc w:val="center"/>
            </w:pPr>
            <w:r w:rsidRPr="00BB2547">
              <w:t>11.674</w:t>
            </w:r>
          </w:p>
        </w:tc>
        <w:tc>
          <w:tcPr>
            <w:tcW w:w="821" w:type="dxa"/>
          </w:tcPr>
          <w:p w14:paraId="738DBB01" w14:textId="77777777" w:rsidR="00036EA9" w:rsidRPr="00AB5367" w:rsidRDefault="00036EA9" w:rsidP="002E3503">
            <w:pPr>
              <w:spacing w:line="360" w:lineRule="auto"/>
              <w:jc w:val="center"/>
            </w:pPr>
            <w:r w:rsidRPr="00AB5367">
              <w:t>.0</w:t>
            </w:r>
            <w:r>
              <w:t>40</w:t>
            </w:r>
          </w:p>
        </w:tc>
      </w:tr>
      <w:tr w:rsidR="00A01B51" w:rsidRPr="00AB5367" w14:paraId="0921E7EA" w14:textId="77777777" w:rsidTr="00FB35F9">
        <w:trPr>
          <w:jc w:val="center"/>
        </w:trPr>
        <w:tc>
          <w:tcPr>
            <w:tcW w:w="680" w:type="dxa"/>
            <w:vAlign w:val="center"/>
          </w:tcPr>
          <w:p w14:paraId="45B603E8" w14:textId="77777777" w:rsidR="00A01B51" w:rsidRDefault="00A01B51" w:rsidP="002E3503">
            <w:pPr>
              <w:spacing w:line="360" w:lineRule="auto"/>
              <w:jc w:val="right"/>
              <w:rPr>
                <w:rFonts w:eastAsia="Calibri"/>
                <w:b/>
                <w:lang w:val="en-US"/>
              </w:rPr>
            </w:pPr>
            <w:r>
              <w:rPr>
                <w:rFonts w:eastAsia="Calibri"/>
                <w:b/>
                <w:lang w:val="en-US"/>
              </w:rPr>
              <w:t>Q5</w:t>
            </w:r>
          </w:p>
        </w:tc>
        <w:tc>
          <w:tcPr>
            <w:tcW w:w="962" w:type="dxa"/>
            <w:vAlign w:val="center"/>
          </w:tcPr>
          <w:p w14:paraId="72C0BABD" w14:textId="77777777" w:rsidR="00A01B51" w:rsidRDefault="00A01B51" w:rsidP="00A01B51">
            <w:pPr>
              <w:spacing w:line="360" w:lineRule="auto"/>
              <w:jc w:val="center"/>
            </w:pPr>
            <w:r w:rsidRPr="00A01B51">
              <w:t>150.88</w:t>
            </w:r>
          </w:p>
        </w:tc>
        <w:tc>
          <w:tcPr>
            <w:tcW w:w="963" w:type="dxa"/>
            <w:vAlign w:val="center"/>
          </w:tcPr>
          <w:p w14:paraId="66C8CE3B" w14:textId="77777777" w:rsidR="00A01B51" w:rsidRDefault="00A01B51" w:rsidP="00A01B51">
            <w:pPr>
              <w:spacing w:line="360" w:lineRule="auto"/>
              <w:jc w:val="center"/>
            </w:pPr>
            <w:r w:rsidRPr="00A01B51">
              <w:t>174.68</w:t>
            </w:r>
          </w:p>
        </w:tc>
        <w:tc>
          <w:tcPr>
            <w:tcW w:w="964" w:type="dxa"/>
            <w:vAlign w:val="center"/>
          </w:tcPr>
          <w:p w14:paraId="409CAB17" w14:textId="77777777" w:rsidR="00A01B51" w:rsidRDefault="00A01B51" w:rsidP="00A01B51">
            <w:pPr>
              <w:spacing w:line="360" w:lineRule="auto"/>
              <w:jc w:val="center"/>
            </w:pPr>
            <w:r w:rsidRPr="00A01B51">
              <w:t>177.65</w:t>
            </w:r>
          </w:p>
        </w:tc>
        <w:tc>
          <w:tcPr>
            <w:tcW w:w="914" w:type="dxa"/>
            <w:vAlign w:val="center"/>
          </w:tcPr>
          <w:p w14:paraId="555C5C48" w14:textId="77777777" w:rsidR="00A01B51" w:rsidRDefault="00A01B51" w:rsidP="00A01B51">
            <w:pPr>
              <w:spacing w:line="360" w:lineRule="auto"/>
              <w:jc w:val="center"/>
            </w:pPr>
            <w:r w:rsidRPr="00A01B51">
              <w:t>186.58</w:t>
            </w:r>
          </w:p>
        </w:tc>
        <w:tc>
          <w:tcPr>
            <w:tcW w:w="1014" w:type="dxa"/>
            <w:vAlign w:val="center"/>
          </w:tcPr>
          <w:p w14:paraId="534D2892" w14:textId="77777777" w:rsidR="00A01B51" w:rsidRDefault="00A01B51" w:rsidP="00A01B51">
            <w:pPr>
              <w:spacing w:line="360" w:lineRule="auto"/>
              <w:jc w:val="center"/>
            </w:pPr>
            <w:r w:rsidRPr="00A01B51">
              <w:t>184.34</w:t>
            </w:r>
          </w:p>
        </w:tc>
        <w:tc>
          <w:tcPr>
            <w:tcW w:w="890" w:type="dxa"/>
            <w:vAlign w:val="center"/>
          </w:tcPr>
          <w:p w14:paraId="521A50E4" w14:textId="77777777" w:rsidR="00A01B51" w:rsidRPr="00AB5367" w:rsidRDefault="00A01B51" w:rsidP="00A01B51">
            <w:pPr>
              <w:spacing w:line="360" w:lineRule="auto"/>
              <w:jc w:val="center"/>
            </w:pPr>
            <w:r w:rsidRPr="00A01B51">
              <w:t>208.88</w:t>
            </w:r>
          </w:p>
        </w:tc>
        <w:tc>
          <w:tcPr>
            <w:tcW w:w="1295" w:type="dxa"/>
            <w:vAlign w:val="center"/>
          </w:tcPr>
          <w:p w14:paraId="569E0B3A" w14:textId="77777777" w:rsidR="00A01B51" w:rsidRPr="00AB5367" w:rsidRDefault="00A01B51" w:rsidP="002E3503">
            <w:pPr>
              <w:spacing w:line="360" w:lineRule="auto"/>
              <w:jc w:val="center"/>
            </w:pPr>
            <w:r w:rsidRPr="00BB2547">
              <w:t>17.586</w:t>
            </w:r>
          </w:p>
        </w:tc>
        <w:tc>
          <w:tcPr>
            <w:tcW w:w="821" w:type="dxa"/>
          </w:tcPr>
          <w:p w14:paraId="08218617" w14:textId="77777777" w:rsidR="00A01B51" w:rsidRPr="00AB5367" w:rsidRDefault="00A01B51" w:rsidP="002E3503">
            <w:pPr>
              <w:spacing w:line="360" w:lineRule="auto"/>
              <w:jc w:val="center"/>
            </w:pPr>
            <w:r>
              <w:t>.004*</w:t>
            </w:r>
          </w:p>
        </w:tc>
      </w:tr>
      <w:tr w:rsidR="00A01B51" w:rsidRPr="00AB5367" w14:paraId="1FCC5E58" w14:textId="77777777" w:rsidTr="00FB35F9">
        <w:trPr>
          <w:jc w:val="center"/>
        </w:trPr>
        <w:tc>
          <w:tcPr>
            <w:tcW w:w="680" w:type="dxa"/>
            <w:vAlign w:val="center"/>
          </w:tcPr>
          <w:p w14:paraId="74CAC163" w14:textId="77777777" w:rsidR="00A01B51" w:rsidRDefault="00A01B51" w:rsidP="002E3503">
            <w:pPr>
              <w:spacing w:line="360" w:lineRule="auto"/>
              <w:jc w:val="right"/>
              <w:rPr>
                <w:rFonts w:eastAsia="Calibri"/>
                <w:b/>
                <w:lang w:val="en-US"/>
              </w:rPr>
            </w:pPr>
            <w:r>
              <w:rPr>
                <w:rFonts w:eastAsia="Calibri"/>
                <w:b/>
                <w:lang w:val="en-US"/>
              </w:rPr>
              <w:t>Q5b</w:t>
            </w:r>
          </w:p>
        </w:tc>
        <w:tc>
          <w:tcPr>
            <w:tcW w:w="962" w:type="dxa"/>
            <w:vAlign w:val="center"/>
          </w:tcPr>
          <w:p w14:paraId="2169FAD0" w14:textId="77777777" w:rsidR="00A01B51" w:rsidRDefault="00A01B51" w:rsidP="00A01B51">
            <w:pPr>
              <w:spacing w:line="360" w:lineRule="auto"/>
              <w:jc w:val="center"/>
            </w:pPr>
            <w:r w:rsidRPr="00A01B51">
              <w:t>156.43</w:t>
            </w:r>
          </w:p>
        </w:tc>
        <w:tc>
          <w:tcPr>
            <w:tcW w:w="963" w:type="dxa"/>
            <w:vAlign w:val="center"/>
          </w:tcPr>
          <w:p w14:paraId="79C7BD2C" w14:textId="77777777" w:rsidR="00A01B51" w:rsidRDefault="00A01B51" w:rsidP="00A01B51">
            <w:pPr>
              <w:spacing w:line="360" w:lineRule="auto"/>
              <w:jc w:val="center"/>
            </w:pPr>
            <w:r w:rsidRPr="00A01B51">
              <w:t>177.32</w:t>
            </w:r>
          </w:p>
        </w:tc>
        <w:tc>
          <w:tcPr>
            <w:tcW w:w="964" w:type="dxa"/>
            <w:vAlign w:val="center"/>
          </w:tcPr>
          <w:p w14:paraId="7EB1495A" w14:textId="77777777" w:rsidR="00A01B51" w:rsidRDefault="00A01B51" w:rsidP="00A01B51">
            <w:pPr>
              <w:spacing w:line="360" w:lineRule="auto"/>
              <w:jc w:val="center"/>
            </w:pPr>
            <w:r w:rsidRPr="00A01B51">
              <w:t>183.28</w:t>
            </w:r>
          </w:p>
        </w:tc>
        <w:tc>
          <w:tcPr>
            <w:tcW w:w="914" w:type="dxa"/>
            <w:vAlign w:val="center"/>
          </w:tcPr>
          <w:p w14:paraId="7257F203" w14:textId="77777777" w:rsidR="00A01B51" w:rsidRDefault="00A01B51" w:rsidP="00A01B51">
            <w:pPr>
              <w:spacing w:line="360" w:lineRule="auto"/>
              <w:jc w:val="center"/>
            </w:pPr>
            <w:r w:rsidRPr="00A01B51">
              <w:t>171.35</w:t>
            </w:r>
          </w:p>
        </w:tc>
        <w:tc>
          <w:tcPr>
            <w:tcW w:w="1014" w:type="dxa"/>
            <w:vAlign w:val="center"/>
          </w:tcPr>
          <w:p w14:paraId="32EC41B8" w14:textId="77777777" w:rsidR="00A01B51" w:rsidRDefault="00A01B51" w:rsidP="00A01B51">
            <w:pPr>
              <w:spacing w:line="360" w:lineRule="auto"/>
              <w:jc w:val="center"/>
            </w:pPr>
            <w:r w:rsidRPr="00A01B51">
              <w:t>195.22</w:t>
            </w:r>
          </w:p>
        </w:tc>
        <w:tc>
          <w:tcPr>
            <w:tcW w:w="890" w:type="dxa"/>
            <w:vAlign w:val="center"/>
          </w:tcPr>
          <w:p w14:paraId="2CA20796" w14:textId="77777777" w:rsidR="00A01B51" w:rsidRPr="00AB5367" w:rsidRDefault="00A01B51" w:rsidP="00A01B51">
            <w:pPr>
              <w:spacing w:line="360" w:lineRule="auto"/>
              <w:jc w:val="center"/>
            </w:pPr>
            <w:r w:rsidRPr="00A01B51">
              <w:t>199.40</w:t>
            </w:r>
          </w:p>
        </w:tc>
        <w:tc>
          <w:tcPr>
            <w:tcW w:w="1295" w:type="dxa"/>
            <w:vAlign w:val="center"/>
          </w:tcPr>
          <w:p w14:paraId="5F09D3DE" w14:textId="77777777" w:rsidR="00A01B51" w:rsidRPr="00AB5367" w:rsidRDefault="00A01B51" w:rsidP="002E3503">
            <w:pPr>
              <w:spacing w:line="360" w:lineRule="auto"/>
              <w:jc w:val="center"/>
            </w:pPr>
            <w:r w:rsidRPr="00BB2547">
              <w:t>14.461</w:t>
            </w:r>
          </w:p>
        </w:tc>
        <w:tc>
          <w:tcPr>
            <w:tcW w:w="821" w:type="dxa"/>
          </w:tcPr>
          <w:p w14:paraId="1711C557" w14:textId="77777777" w:rsidR="00A01B51" w:rsidRPr="00AB5367" w:rsidRDefault="00A01B51" w:rsidP="002E3503">
            <w:pPr>
              <w:spacing w:line="360" w:lineRule="auto"/>
              <w:jc w:val="center"/>
            </w:pPr>
            <w:r>
              <w:t>.013</w:t>
            </w:r>
          </w:p>
        </w:tc>
      </w:tr>
      <w:tr w:rsidR="00A01B51" w:rsidRPr="00AB5367" w14:paraId="73F17684" w14:textId="77777777" w:rsidTr="00FB35F9">
        <w:trPr>
          <w:jc w:val="center"/>
        </w:trPr>
        <w:tc>
          <w:tcPr>
            <w:tcW w:w="680" w:type="dxa"/>
            <w:vAlign w:val="center"/>
          </w:tcPr>
          <w:p w14:paraId="7E4C113C" w14:textId="77777777" w:rsidR="00A01B51" w:rsidRDefault="00A01B51" w:rsidP="002E3503">
            <w:pPr>
              <w:spacing w:line="360" w:lineRule="auto"/>
              <w:jc w:val="right"/>
              <w:rPr>
                <w:rFonts w:eastAsia="Calibri"/>
                <w:b/>
                <w:lang w:val="en-US"/>
              </w:rPr>
            </w:pPr>
            <w:r>
              <w:rPr>
                <w:rFonts w:eastAsia="Calibri"/>
                <w:b/>
                <w:lang w:val="en-US"/>
              </w:rPr>
              <w:t>Q6</w:t>
            </w:r>
          </w:p>
        </w:tc>
        <w:tc>
          <w:tcPr>
            <w:tcW w:w="962" w:type="dxa"/>
            <w:vAlign w:val="center"/>
          </w:tcPr>
          <w:p w14:paraId="473E1EA3" w14:textId="77777777" w:rsidR="00A01B51" w:rsidRDefault="00A01B51" w:rsidP="00A01B51">
            <w:pPr>
              <w:spacing w:line="360" w:lineRule="auto"/>
              <w:jc w:val="center"/>
            </w:pPr>
            <w:r w:rsidRPr="00A01B51">
              <w:t>150.93</w:t>
            </w:r>
          </w:p>
        </w:tc>
        <w:tc>
          <w:tcPr>
            <w:tcW w:w="963" w:type="dxa"/>
            <w:vAlign w:val="center"/>
          </w:tcPr>
          <w:p w14:paraId="352A2629" w14:textId="77777777" w:rsidR="00A01B51" w:rsidRDefault="00A01B51" w:rsidP="00A01B51">
            <w:pPr>
              <w:spacing w:line="360" w:lineRule="auto"/>
              <w:jc w:val="center"/>
            </w:pPr>
            <w:r w:rsidRPr="00A01B51">
              <w:t>168.78</w:t>
            </w:r>
          </w:p>
        </w:tc>
        <w:tc>
          <w:tcPr>
            <w:tcW w:w="964" w:type="dxa"/>
            <w:vAlign w:val="center"/>
          </w:tcPr>
          <w:p w14:paraId="2D06CFA8" w14:textId="77777777" w:rsidR="00A01B51" w:rsidRDefault="00A01B51" w:rsidP="00A01B51">
            <w:pPr>
              <w:spacing w:line="360" w:lineRule="auto"/>
              <w:jc w:val="center"/>
            </w:pPr>
            <w:r w:rsidRPr="00A01B51">
              <w:t>177.70</w:t>
            </w:r>
          </w:p>
        </w:tc>
        <w:tc>
          <w:tcPr>
            <w:tcW w:w="914" w:type="dxa"/>
            <w:vAlign w:val="center"/>
          </w:tcPr>
          <w:p w14:paraId="795934EC" w14:textId="77777777" w:rsidR="00A01B51" w:rsidRDefault="00A01B51" w:rsidP="00A01B51">
            <w:pPr>
              <w:spacing w:line="360" w:lineRule="auto"/>
              <w:jc w:val="center"/>
            </w:pPr>
            <w:r w:rsidRPr="00A01B51">
              <w:t>192.58</w:t>
            </w:r>
          </w:p>
        </w:tc>
        <w:tc>
          <w:tcPr>
            <w:tcW w:w="1014" w:type="dxa"/>
            <w:vAlign w:val="center"/>
          </w:tcPr>
          <w:p w14:paraId="6E503A37" w14:textId="77777777" w:rsidR="00A01B51" w:rsidRDefault="00A01B51" w:rsidP="00A01B51">
            <w:pPr>
              <w:spacing w:line="360" w:lineRule="auto"/>
              <w:jc w:val="center"/>
            </w:pPr>
            <w:r w:rsidRPr="00A01B51">
              <w:t>193.86</w:t>
            </w:r>
          </w:p>
        </w:tc>
        <w:tc>
          <w:tcPr>
            <w:tcW w:w="890" w:type="dxa"/>
            <w:vAlign w:val="center"/>
          </w:tcPr>
          <w:p w14:paraId="16D6532F" w14:textId="77777777" w:rsidR="00A01B51" w:rsidRPr="00AB5367" w:rsidRDefault="00A01B51" w:rsidP="00A01B51">
            <w:pPr>
              <w:spacing w:line="360" w:lineRule="auto"/>
              <w:jc w:val="center"/>
            </w:pPr>
            <w:r w:rsidRPr="00A01B51">
              <w:t>199.17</w:t>
            </w:r>
          </w:p>
        </w:tc>
        <w:tc>
          <w:tcPr>
            <w:tcW w:w="1295" w:type="dxa"/>
            <w:vAlign w:val="center"/>
          </w:tcPr>
          <w:p w14:paraId="3741E7A6" w14:textId="77777777" w:rsidR="00A01B51" w:rsidRPr="00AB5367" w:rsidRDefault="00A01B51" w:rsidP="002E3503">
            <w:pPr>
              <w:spacing w:line="360" w:lineRule="auto"/>
              <w:jc w:val="center"/>
            </w:pPr>
            <w:r w:rsidRPr="00BB2547">
              <w:t>18.551</w:t>
            </w:r>
          </w:p>
        </w:tc>
        <w:tc>
          <w:tcPr>
            <w:tcW w:w="821" w:type="dxa"/>
          </w:tcPr>
          <w:p w14:paraId="7660A045" w14:textId="77777777" w:rsidR="00A01B51" w:rsidRPr="00AB5367" w:rsidRDefault="00A01B51" w:rsidP="002E3503">
            <w:pPr>
              <w:spacing w:line="360" w:lineRule="auto"/>
              <w:jc w:val="center"/>
            </w:pPr>
            <w:r>
              <w:t>.002*</w:t>
            </w:r>
          </w:p>
        </w:tc>
      </w:tr>
      <w:tr w:rsidR="00A01B51" w:rsidRPr="00AB5367" w14:paraId="7712ED59" w14:textId="77777777" w:rsidTr="00FB35F9">
        <w:trPr>
          <w:jc w:val="center"/>
        </w:trPr>
        <w:tc>
          <w:tcPr>
            <w:tcW w:w="680" w:type="dxa"/>
            <w:vAlign w:val="center"/>
          </w:tcPr>
          <w:p w14:paraId="115CA51C" w14:textId="77777777" w:rsidR="00A01B51" w:rsidRDefault="00A01B51" w:rsidP="002E3503">
            <w:pPr>
              <w:spacing w:line="360" w:lineRule="auto"/>
              <w:jc w:val="right"/>
              <w:rPr>
                <w:rFonts w:eastAsia="Calibri"/>
                <w:b/>
                <w:lang w:val="en-US"/>
              </w:rPr>
            </w:pPr>
            <w:r>
              <w:rPr>
                <w:rFonts w:eastAsia="Calibri"/>
                <w:b/>
                <w:lang w:val="en-US"/>
              </w:rPr>
              <w:t>Q7</w:t>
            </w:r>
          </w:p>
        </w:tc>
        <w:tc>
          <w:tcPr>
            <w:tcW w:w="962" w:type="dxa"/>
            <w:vAlign w:val="center"/>
          </w:tcPr>
          <w:p w14:paraId="2A36E017" w14:textId="77777777" w:rsidR="00A01B51" w:rsidRDefault="00A01B51" w:rsidP="00A01B51">
            <w:pPr>
              <w:spacing w:line="360" w:lineRule="auto"/>
              <w:jc w:val="center"/>
            </w:pPr>
            <w:r w:rsidRPr="00A01B51">
              <w:t>168.90</w:t>
            </w:r>
          </w:p>
        </w:tc>
        <w:tc>
          <w:tcPr>
            <w:tcW w:w="963" w:type="dxa"/>
            <w:vAlign w:val="center"/>
          </w:tcPr>
          <w:p w14:paraId="163F9FAF" w14:textId="77777777" w:rsidR="00A01B51" w:rsidRDefault="00A01B51" w:rsidP="00A01B51">
            <w:pPr>
              <w:spacing w:line="360" w:lineRule="auto"/>
              <w:jc w:val="center"/>
            </w:pPr>
            <w:r w:rsidRPr="00A01B51">
              <w:t>170.83</w:t>
            </w:r>
          </w:p>
        </w:tc>
        <w:tc>
          <w:tcPr>
            <w:tcW w:w="964" w:type="dxa"/>
            <w:vAlign w:val="center"/>
          </w:tcPr>
          <w:p w14:paraId="21DDC16F" w14:textId="77777777" w:rsidR="00A01B51" w:rsidRDefault="00A01B51" w:rsidP="00A01B51">
            <w:pPr>
              <w:spacing w:line="360" w:lineRule="auto"/>
              <w:jc w:val="center"/>
            </w:pPr>
            <w:r w:rsidRPr="00A01B51">
              <w:t>200.80</w:t>
            </w:r>
          </w:p>
        </w:tc>
        <w:tc>
          <w:tcPr>
            <w:tcW w:w="914" w:type="dxa"/>
            <w:vAlign w:val="center"/>
          </w:tcPr>
          <w:p w14:paraId="53529664" w14:textId="77777777" w:rsidR="00A01B51" w:rsidRDefault="00A01B51" w:rsidP="00A01B51">
            <w:pPr>
              <w:spacing w:line="360" w:lineRule="auto"/>
              <w:jc w:val="center"/>
            </w:pPr>
            <w:r w:rsidRPr="00A01B51">
              <w:t>164.07</w:t>
            </w:r>
          </w:p>
        </w:tc>
        <w:tc>
          <w:tcPr>
            <w:tcW w:w="1014" w:type="dxa"/>
            <w:vAlign w:val="center"/>
          </w:tcPr>
          <w:p w14:paraId="226056B8" w14:textId="77777777" w:rsidR="00A01B51" w:rsidRDefault="00A01B51" w:rsidP="00A01B51">
            <w:pPr>
              <w:spacing w:line="360" w:lineRule="auto"/>
              <w:jc w:val="center"/>
            </w:pPr>
            <w:r w:rsidRPr="00A01B51">
              <w:t>187.27</w:t>
            </w:r>
          </w:p>
        </w:tc>
        <w:tc>
          <w:tcPr>
            <w:tcW w:w="890" w:type="dxa"/>
            <w:vAlign w:val="center"/>
          </w:tcPr>
          <w:p w14:paraId="64EB82E5" w14:textId="77777777" w:rsidR="00A01B51" w:rsidRPr="00AB5367" w:rsidRDefault="00A01B51" w:rsidP="00A01B51">
            <w:pPr>
              <w:spacing w:line="360" w:lineRule="auto"/>
              <w:jc w:val="center"/>
            </w:pPr>
            <w:r w:rsidRPr="00A01B51">
              <w:t>191.13</w:t>
            </w:r>
          </w:p>
        </w:tc>
        <w:tc>
          <w:tcPr>
            <w:tcW w:w="1295" w:type="dxa"/>
            <w:vAlign w:val="center"/>
          </w:tcPr>
          <w:p w14:paraId="3A0971EB" w14:textId="77777777" w:rsidR="00A01B51" w:rsidRPr="00AB5367" w:rsidRDefault="00A01B51" w:rsidP="002E3503">
            <w:pPr>
              <w:spacing w:line="360" w:lineRule="auto"/>
              <w:jc w:val="center"/>
            </w:pPr>
            <w:r w:rsidRPr="00BB2547">
              <w:t>8.913</w:t>
            </w:r>
          </w:p>
        </w:tc>
        <w:tc>
          <w:tcPr>
            <w:tcW w:w="821" w:type="dxa"/>
          </w:tcPr>
          <w:p w14:paraId="17641F56" w14:textId="77777777" w:rsidR="00A01B51" w:rsidRPr="00AB5367" w:rsidRDefault="00A01B51" w:rsidP="002E3503">
            <w:pPr>
              <w:spacing w:line="360" w:lineRule="auto"/>
              <w:jc w:val="center"/>
            </w:pPr>
            <w:r>
              <w:t>.113</w:t>
            </w:r>
          </w:p>
        </w:tc>
      </w:tr>
      <w:tr w:rsidR="00A01B51" w:rsidRPr="00AB5367" w14:paraId="03D556EB" w14:textId="77777777" w:rsidTr="00FB35F9">
        <w:trPr>
          <w:jc w:val="center"/>
        </w:trPr>
        <w:tc>
          <w:tcPr>
            <w:tcW w:w="680" w:type="dxa"/>
            <w:vAlign w:val="center"/>
          </w:tcPr>
          <w:p w14:paraId="2C2857A2" w14:textId="77777777" w:rsidR="00A01B51" w:rsidRPr="00AB5367" w:rsidRDefault="00A01B51" w:rsidP="002E3503">
            <w:pPr>
              <w:spacing w:line="360" w:lineRule="auto"/>
              <w:jc w:val="right"/>
              <w:rPr>
                <w:rFonts w:eastAsia="Calibri"/>
                <w:b/>
                <w:lang w:val="en-US"/>
              </w:rPr>
            </w:pPr>
            <w:r w:rsidRPr="00AB5367">
              <w:rPr>
                <w:rFonts w:eastAsia="Calibri"/>
                <w:b/>
                <w:lang w:val="en-US"/>
              </w:rPr>
              <w:t>Q8</w:t>
            </w:r>
          </w:p>
        </w:tc>
        <w:tc>
          <w:tcPr>
            <w:tcW w:w="962" w:type="dxa"/>
            <w:vAlign w:val="center"/>
          </w:tcPr>
          <w:p w14:paraId="22B6B5B3" w14:textId="77777777" w:rsidR="00A01B51" w:rsidRPr="00AB5367" w:rsidRDefault="00A01B51" w:rsidP="00A01B51">
            <w:pPr>
              <w:spacing w:line="360" w:lineRule="auto"/>
              <w:jc w:val="center"/>
            </w:pPr>
            <w:r w:rsidRPr="00A01B51">
              <w:t>166.50</w:t>
            </w:r>
          </w:p>
        </w:tc>
        <w:tc>
          <w:tcPr>
            <w:tcW w:w="963" w:type="dxa"/>
            <w:vAlign w:val="center"/>
          </w:tcPr>
          <w:p w14:paraId="56655151" w14:textId="77777777" w:rsidR="00A01B51" w:rsidRPr="00AB5367" w:rsidRDefault="00A01B51" w:rsidP="00A01B51">
            <w:pPr>
              <w:spacing w:line="360" w:lineRule="auto"/>
              <w:jc w:val="center"/>
            </w:pPr>
            <w:r w:rsidRPr="00A01B51">
              <w:t>181.50</w:t>
            </w:r>
          </w:p>
        </w:tc>
        <w:tc>
          <w:tcPr>
            <w:tcW w:w="964" w:type="dxa"/>
            <w:vAlign w:val="center"/>
          </w:tcPr>
          <w:p w14:paraId="07ED8099" w14:textId="77777777" w:rsidR="00A01B51" w:rsidRPr="00AB5367" w:rsidRDefault="00A01B51" w:rsidP="00A01B51">
            <w:pPr>
              <w:spacing w:line="360" w:lineRule="auto"/>
              <w:jc w:val="center"/>
            </w:pPr>
            <w:r w:rsidRPr="00A01B51">
              <w:t>181.50</w:t>
            </w:r>
          </w:p>
        </w:tc>
        <w:tc>
          <w:tcPr>
            <w:tcW w:w="914" w:type="dxa"/>
            <w:vAlign w:val="center"/>
          </w:tcPr>
          <w:p w14:paraId="3D6B1DD6" w14:textId="77777777" w:rsidR="00A01B51" w:rsidRPr="00AB5367" w:rsidRDefault="00A01B51" w:rsidP="00A01B51">
            <w:pPr>
              <w:spacing w:line="360" w:lineRule="auto"/>
              <w:jc w:val="center"/>
            </w:pPr>
            <w:r w:rsidRPr="00A01B51">
              <w:t>181.50</w:t>
            </w:r>
          </w:p>
        </w:tc>
        <w:tc>
          <w:tcPr>
            <w:tcW w:w="1014" w:type="dxa"/>
            <w:vAlign w:val="center"/>
          </w:tcPr>
          <w:p w14:paraId="516473AE" w14:textId="77777777" w:rsidR="00A01B51" w:rsidRPr="00AB5367" w:rsidRDefault="00A01B51" w:rsidP="00A01B51">
            <w:pPr>
              <w:spacing w:line="360" w:lineRule="auto"/>
              <w:jc w:val="center"/>
            </w:pPr>
            <w:r w:rsidRPr="00A01B51">
              <w:t>184.50</w:t>
            </w:r>
          </w:p>
        </w:tc>
        <w:tc>
          <w:tcPr>
            <w:tcW w:w="890" w:type="dxa"/>
            <w:vAlign w:val="center"/>
          </w:tcPr>
          <w:p w14:paraId="15B6CB5B" w14:textId="77777777" w:rsidR="00A01B51" w:rsidRPr="00AB5367" w:rsidRDefault="00A01B51" w:rsidP="00A01B51">
            <w:pPr>
              <w:spacing w:line="360" w:lineRule="auto"/>
              <w:jc w:val="center"/>
            </w:pPr>
            <w:r w:rsidRPr="00A01B51">
              <w:t>187.50</w:t>
            </w:r>
          </w:p>
        </w:tc>
        <w:tc>
          <w:tcPr>
            <w:tcW w:w="1295" w:type="dxa"/>
            <w:vAlign w:val="center"/>
          </w:tcPr>
          <w:p w14:paraId="20A4202D" w14:textId="77777777" w:rsidR="00A01B51" w:rsidRPr="00AB5367" w:rsidRDefault="00A01B51" w:rsidP="002E3503">
            <w:pPr>
              <w:spacing w:line="360" w:lineRule="auto"/>
              <w:jc w:val="center"/>
            </w:pPr>
            <w:r w:rsidRPr="00BB2547">
              <w:t>5.700</w:t>
            </w:r>
          </w:p>
        </w:tc>
        <w:tc>
          <w:tcPr>
            <w:tcW w:w="821" w:type="dxa"/>
          </w:tcPr>
          <w:p w14:paraId="53732814" w14:textId="77777777" w:rsidR="00A01B51" w:rsidRPr="00AB5367" w:rsidRDefault="00A01B51" w:rsidP="002E3503">
            <w:pPr>
              <w:spacing w:line="360" w:lineRule="auto"/>
              <w:jc w:val="center"/>
            </w:pPr>
            <w:r>
              <w:t>.336</w:t>
            </w:r>
          </w:p>
        </w:tc>
      </w:tr>
      <w:tr w:rsidR="00A01B51" w:rsidRPr="00AB5367" w14:paraId="48CCDD8D" w14:textId="77777777" w:rsidTr="00FB35F9">
        <w:trPr>
          <w:jc w:val="center"/>
        </w:trPr>
        <w:tc>
          <w:tcPr>
            <w:tcW w:w="680" w:type="dxa"/>
            <w:vAlign w:val="center"/>
          </w:tcPr>
          <w:p w14:paraId="2A742C12" w14:textId="77777777" w:rsidR="00A01B51" w:rsidRPr="00AB5367" w:rsidRDefault="00A01B51" w:rsidP="002E3503">
            <w:pPr>
              <w:spacing w:line="360" w:lineRule="auto"/>
              <w:jc w:val="right"/>
              <w:rPr>
                <w:rFonts w:eastAsia="Calibri"/>
                <w:b/>
                <w:lang w:val="en-US"/>
              </w:rPr>
            </w:pPr>
            <w:r w:rsidRPr="00AB5367">
              <w:rPr>
                <w:rFonts w:eastAsia="Calibri"/>
                <w:b/>
                <w:lang w:val="en-US"/>
              </w:rPr>
              <w:t>Q9</w:t>
            </w:r>
          </w:p>
        </w:tc>
        <w:tc>
          <w:tcPr>
            <w:tcW w:w="962" w:type="dxa"/>
            <w:vAlign w:val="center"/>
          </w:tcPr>
          <w:p w14:paraId="45CB78F1" w14:textId="77777777" w:rsidR="00A01B51" w:rsidRPr="00AB5367" w:rsidRDefault="00A01B51" w:rsidP="00A01B51">
            <w:pPr>
              <w:spacing w:line="360" w:lineRule="auto"/>
              <w:jc w:val="center"/>
            </w:pPr>
            <w:r w:rsidRPr="00A01B51">
              <w:t>176.17</w:t>
            </w:r>
          </w:p>
        </w:tc>
        <w:tc>
          <w:tcPr>
            <w:tcW w:w="963" w:type="dxa"/>
            <w:vAlign w:val="center"/>
          </w:tcPr>
          <w:p w14:paraId="29EB9D8E" w14:textId="77777777" w:rsidR="00A01B51" w:rsidRPr="00AB5367" w:rsidRDefault="00A01B51" w:rsidP="00A01B51">
            <w:pPr>
              <w:spacing w:line="360" w:lineRule="auto"/>
              <w:jc w:val="center"/>
            </w:pPr>
            <w:r w:rsidRPr="00A01B51">
              <w:t>189.67</w:t>
            </w:r>
          </w:p>
        </w:tc>
        <w:tc>
          <w:tcPr>
            <w:tcW w:w="964" w:type="dxa"/>
            <w:vAlign w:val="center"/>
          </w:tcPr>
          <w:p w14:paraId="4F08088F" w14:textId="77777777" w:rsidR="00A01B51" w:rsidRPr="00AB5367" w:rsidRDefault="00A01B51" w:rsidP="00A01B51">
            <w:pPr>
              <w:spacing w:line="360" w:lineRule="auto"/>
              <w:jc w:val="center"/>
            </w:pPr>
            <w:r w:rsidRPr="00A01B51">
              <w:t>178.93</w:t>
            </w:r>
          </w:p>
        </w:tc>
        <w:tc>
          <w:tcPr>
            <w:tcW w:w="914" w:type="dxa"/>
            <w:vAlign w:val="center"/>
          </w:tcPr>
          <w:p w14:paraId="023D23BB" w14:textId="77777777" w:rsidR="00A01B51" w:rsidRPr="00AB5367" w:rsidRDefault="00A01B51" w:rsidP="00A01B51">
            <w:pPr>
              <w:spacing w:line="360" w:lineRule="auto"/>
              <w:jc w:val="center"/>
            </w:pPr>
            <w:r w:rsidRPr="00A01B51">
              <w:t>176.17</w:t>
            </w:r>
          </w:p>
        </w:tc>
        <w:tc>
          <w:tcPr>
            <w:tcW w:w="1014" w:type="dxa"/>
            <w:vAlign w:val="center"/>
          </w:tcPr>
          <w:p w14:paraId="7E905EDF" w14:textId="77777777" w:rsidR="00A01B51" w:rsidRPr="00AB5367" w:rsidRDefault="00A01B51" w:rsidP="00A01B51">
            <w:pPr>
              <w:spacing w:line="360" w:lineRule="auto"/>
              <w:jc w:val="center"/>
            </w:pPr>
            <w:r w:rsidRPr="00A01B51">
              <w:t>170.13</w:t>
            </w:r>
          </w:p>
        </w:tc>
        <w:tc>
          <w:tcPr>
            <w:tcW w:w="890" w:type="dxa"/>
            <w:vAlign w:val="center"/>
          </w:tcPr>
          <w:p w14:paraId="03949C16" w14:textId="77777777" w:rsidR="00A01B51" w:rsidRPr="00AB5367" w:rsidRDefault="00A01B51" w:rsidP="00A01B51">
            <w:pPr>
              <w:spacing w:line="360" w:lineRule="auto"/>
              <w:jc w:val="center"/>
            </w:pPr>
            <w:r w:rsidRPr="00A01B51">
              <w:t>191.93</w:t>
            </w:r>
          </w:p>
        </w:tc>
        <w:tc>
          <w:tcPr>
            <w:tcW w:w="1295" w:type="dxa"/>
            <w:vAlign w:val="center"/>
          </w:tcPr>
          <w:p w14:paraId="7734A0FA" w14:textId="77777777" w:rsidR="00A01B51" w:rsidRPr="00AB5367" w:rsidRDefault="00A01B51" w:rsidP="00BB2547">
            <w:pPr>
              <w:spacing w:line="360" w:lineRule="auto"/>
              <w:jc w:val="center"/>
            </w:pPr>
            <w:r w:rsidRPr="00BB2547">
              <w:t>3.964</w:t>
            </w:r>
          </w:p>
        </w:tc>
        <w:tc>
          <w:tcPr>
            <w:tcW w:w="821" w:type="dxa"/>
          </w:tcPr>
          <w:p w14:paraId="39107E5F" w14:textId="77777777" w:rsidR="00A01B51" w:rsidRPr="00AB5367" w:rsidRDefault="00A01B51" w:rsidP="002E3503">
            <w:pPr>
              <w:spacing w:line="360" w:lineRule="auto"/>
              <w:jc w:val="center"/>
            </w:pPr>
            <w:r w:rsidRPr="00AB5367">
              <w:t>.</w:t>
            </w:r>
            <w:r>
              <w:t>555</w:t>
            </w:r>
          </w:p>
        </w:tc>
      </w:tr>
      <w:tr w:rsidR="00A01B51" w:rsidRPr="00AB5367" w14:paraId="178856C6" w14:textId="77777777" w:rsidTr="00FB35F9">
        <w:trPr>
          <w:jc w:val="center"/>
        </w:trPr>
        <w:tc>
          <w:tcPr>
            <w:tcW w:w="680" w:type="dxa"/>
            <w:vAlign w:val="center"/>
          </w:tcPr>
          <w:p w14:paraId="765C384C" w14:textId="77777777" w:rsidR="00A01B51" w:rsidRPr="00AB5367" w:rsidRDefault="00A01B51" w:rsidP="002E3503">
            <w:pPr>
              <w:spacing w:line="360" w:lineRule="auto"/>
              <w:jc w:val="right"/>
              <w:rPr>
                <w:rFonts w:eastAsia="Calibri"/>
                <w:b/>
                <w:lang w:val="en-US"/>
              </w:rPr>
            </w:pPr>
            <w:r>
              <w:rPr>
                <w:rFonts w:eastAsia="Calibri"/>
                <w:b/>
                <w:lang w:val="en-US"/>
              </w:rPr>
              <w:t>Q11</w:t>
            </w:r>
          </w:p>
        </w:tc>
        <w:tc>
          <w:tcPr>
            <w:tcW w:w="962" w:type="dxa"/>
            <w:vAlign w:val="center"/>
          </w:tcPr>
          <w:p w14:paraId="4AE89FCA" w14:textId="77777777" w:rsidR="00A01B51" w:rsidRPr="00AB5367" w:rsidRDefault="00A01B51" w:rsidP="00A01B51">
            <w:pPr>
              <w:spacing w:line="360" w:lineRule="auto"/>
              <w:jc w:val="center"/>
            </w:pPr>
            <w:r w:rsidRPr="00A01B51">
              <w:t>138.66</w:t>
            </w:r>
          </w:p>
        </w:tc>
        <w:tc>
          <w:tcPr>
            <w:tcW w:w="963" w:type="dxa"/>
            <w:vAlign w:val="center"/>
          </w:tcPr>
          <w:p w14:paraId="5946DCAD" w14:textId="77777777" w:rsidR="00A01B51" w:rsidRPr="00AB5367" w:rsidRDefault="00A01B51" w:rsidP="00A01B51">
            <w:pPr>
              <w:spacing w:line="360" w:lineRule="auto"/>
              <w:jc w:val="center"/>
            </w:pPr>
            <w:r w:rsidRPr="00A01B51">
              <w:t>154.85</w:t>
            </w:r>
          </w:p>
        </w:tc>
        <w:tc>
          <w:tcPr>
            <w:tcW w:w="964" w:type="dxa"/>
            <w:vAlign w:val="center"/>
          </w:tcPr>
          <w:p w14:paraId="0E8CBFF4" w14:textId="77777777" w:rsidR="00A01B51" w:rsidRPr="00AB5367" w:rsidRDefault="00A01B51" w:rsidP="00A01B51">
            <w:pPr>
              <w:spacing w:line="360" w:lineRule="auto"/>
              <w:jc w:val="center"/>
            </w:pPr>
            <w:r w:rsidRPr="00A01B51">
              <w:t>166.47</w:t>
            </w:r>
          </w:p>
        </w:tc>
        <w:tc>
          <w:tcPr>
            <w:tcW w:w="914" w:type="dxa"/>
            <w:vAlign w:val="center"/>
          </w:tcPr>
          <w:p w14:paraId="48ACA4B8" w14:textId="77777777" w:rsidR="00A01B51" w:rsidRPr="00AB5367" w:rsidRDefault="00A01B51" w:rsidP="00A01B51">
            <w:pPr>
              <w:spacing w:line="360" w:lineRule="auto"/>
              <w:jc w:val="center"/>
            </w:pPr>
            <w:r w:rsidRPr="00A01B51">
              <w:t>198.05</w:t>
            </w:r>
          </w:p>
        </w:tc>
        <w:tc>
          <w:tcPr>
            <w:tcW w:w="1014" w:type="dxa"/>
            <w:vAlign w:val="center"/>
          </w:tcPr>
          <w:p w14:paraId="2237FFB6" w14:textId="77777777" w:rsidR="00A01B51" w:rsidRPr="00AB5367" w:rsidRDefault="00A01B51" w:rsidP="00A01B51">
            <w:pPr>
              <w:spacing w:line="360" w:lineRule="auto"/>
              <w:jc w:val="center"/>
            </w:pPr>
            <w:r w:rsidRPr="00A01B51">
              <w:t>214.16</w:t>
            </w:r>
          </w:p>
        </w:tc>
        <w:tc>
          <w:tcPr>
            <w:tcW w:w="890" w:type="dxa"/>
            <w:vAlign w:val="center"/>
          </w:tcPr>
          <w:p w14:paraId="5959ACED" w14:textId="77777777" w:rsidR="00A01B51" w:rsidRPr="00AB5367" w:rsidRDefault="00A01B51" w:rsidP="00A01B51">
            <w:pPr>
              <w:spacing w:line="360" w:lineRule="auto"/>
              <w:jc w:val="center"/>
            </w:pPr>
            <w:r w:rsidRPr="00A01B51">
              <w:t>210.82</w:t>
            </w:r>
          </w:p>
        </w:tc>
        <w:tc>
          <w:tcPr>
            <w:tcW w:w="1295" w:type="dxa"/>
            <w:vAlign w:val="center"/>
          </w:tcPr>
          <w:p w14:paraId="604BE8B2" w14:textId="77777777" w:rsidR="00A01B51" w:rsidRPr="00AB5367" w:rsidRDefault="00A01B51" w:rsidP="00BB2547">
            <w:pPr>
              <w:spacing w:line="360" w:lineRule="auto"/>
              <w:jc w:val="center"/>
            </w:pPr>
            <w:r w:rsidRPr="00BB2547">
              <w:t>34.095</w:t>
            </w:r>
          </w:p>
        </w:tc>
        <w:tc>
          <w:tcPr>
            <w:tcW w:w="821" w:type="dxa"/>
          </w:tcPr>
          <w:p w14:paraId="5B2AE461" w14:textId="77777777" w:rsidR="00A01B51" w:rsidRPr="00AB5367" w:rsidRDefault="00A01B51" w:rsidP="002E3503">
            <w:pPr>
              <w:spacing w:line="360" w:lineRule="auto"/>
              <w:jc w:val="center"/>
            </w:pPr>
            <w:r w:rsidRPr="00AB5367">
              <w:t>.000</w:t>
            </w:r>
            <w:r>
              <w:t>*</w:t>
            </w:r>
          </w:p>
        </w:tc>
      </w:tr>
      <w:tr w:rsidR="00A01B51" w:rsidRPr="00AB5367" w14:paraId="264E7574" w14:textId="77777777" w:rsidTr="00FB35F9">
        <w:trPr>
          <w:jc w:val="center"/>
        </w:trPr>
        <w:tc>
          <w:tcPr>
            <w:tcW w:w="680" w:type="dxa"/>
            <w:tcBorders>
              <w:bottom w:val="single" w:sz="2" w:space="0" w:color="auto"/>
            </w:tcBorders>
            <w:vAlign w:val="center"/>
          </w:tcPr>
          <w:p w14:paraId="6475B53B" w14:textId="77777777" w:rsidR="00A01B51" w:rsidRPr="00BB2547" w:rsidRDefault="00A01B51" w:rsidP="002E3503">
            <w:pPr>
              <w:spacing w:line="360" w:lineRule="auto"/>
              <w:jc w:val="right"/>
              <w:rPr>
                <w:rFonts w:eastAsia="Calibri"/>
                <w:b/>
                <w:lang w:val="el-GR"/>
              </w:rPr>
            </w:pPr>
            <w:proofErr w:type="spellStart"/>
            <w:r>
              <w:rPr>
                <w:rFonts w:eastAsia="Calibri"/>
                <w:b/>
                <w:lang w:val="el-GR"/>
              </w:rPr>
              <w:t>Σύν</w:t>
            </w:r>
            <w:proofErr w:type="spellEnd"/>
            <w:r>
              <w:rPr>
                <w:rFonts w:eastAsia="Calibri"/>
                <w:b/>
                <w:lang w:val="el-GR"/>
              </w:rPr>
              <w:t>.</w:t>
            </w:r>
          </w:p>
        </w:tc>
        <w:tc>
          <w:tcPr>
            <w:tcW w:w="962" w:type="dxa"/>
            <w:tcBorders>
              <w:bottom w:val="single" w:sz="2" w:space="0" w:color="auto"/>
            </w:tcBorders>
            <w:vAlign w:val="center"/>
          </w:tcPr>
          <w:p w14:paraId="12B68755" w14:textId="77777777" w:rsidR="00A01B51" w:rsidRPr="00AB5367" w:rsidRDefault="00A01B51" w:rsidP="00A01B51">
            <w:pPr>
              <w:spacing w:line="360" w:lineRule="auto"/>
              <w:jc w:val="center"/>
            </w:pPr>
            <w:r w:rsidRPr="00A01B51">
              <w:t>136.48</w:t>
            </w:r>
          </w:p>
        </w:tc>
        <w:tc>
          <w:tcPr>
            <w:tcW w:w="963" w:type="dxa"/>
            <w:tcBorders>
              <w:bottom w:val="single" w:sz="2" w:space="0" w:color="auto"/>
            </w:tcBorders>
            <w:vAlign w:val="center"/>
          </w:tcPr>
          <w:p w14:paraId="7F7274C2" w14:textId="77777777" w:rsidR="00A01B51" w:rsidRPr="00AB5367" w:rsidRDefault="00A01B51" w:rsidP="00A01B51">
            <w:pPr>
              <w:spacing w:line="360" w:lineRule="auto"/>
              <w:jc w:val="center"/>
            </w:pPr>
            <w:r w:rsidRPr="00A01B51">
              <w:t>172.92</w:t>
            </w:r>
          </w:p>
        </w:tc>
        <w:tc>
          <w:tcPr>
            <w:tcW w:w="964" w:type="dxa"/>
            <w:tcBorders>
              <w:bottom w:val="single" w:sz="2" w:space="0" w:color="auto"/>
            </w:tcBorders>
            <w:vAlign w:val="center"/>
          </w:tcPr>
          <w:p w14:paraId="64F62F1C" w14:textId="77777777" w:rsidR="00A01B51" w:rsidRPr="00AB5367" w:rsidRDefault="00A01B51" w:rsidP="00A01B51">
            <w:pPr>
              <w:spacing w:line="360" w:lineRule="auto"/>
              <w:jc w:val="center"/>
            </w:pPr>
            <w:r w:rsidRPr="00A01B51">
              <w:t>179.73</w:t>
            </w:r>
          </w:p>
        </w:tc>
        <w:tc>
          <w:tcPr>
            <w:tcW w:w="914" w:type="dxa"/>
            <w:tcBorders>
              <w:bottom w:val="single" w:sz="2" w:space="0" w:color="auto"/>
            </w:tcBorders>
            <w:vAlign w:val="center"/>
          </w:tcPr>
          <w:p w14:paraId="537A3018" w14:textId="77777777" w:rsidR="00A01B51" w:rsidRPr="00AB5367" w:rsidRDefault="00A01B51" w:rsidP="00A01B51">
            <w:pPr>
              <w:spacing w:line="360" w:lineRule="auto"/>
              <w:jc w:val="center"/>
            </w:pPr>
            <w:r w:rsidRPr="00A01B51">
              <w:t>194.97</w:t>
            </w:r>
          </w:p>
        </w:tc>
        <w:tc>
          <w:tcPr>
            <w:tcW w:w="1014" w:type="dxa"/>
            <w:tcBorders>
              <w:bottom w:val="single" w:sz="2" w:space="0" w:color="auto"/>
            </w:tcBorders>
            <w:vAlign w:val="center"/>
          </w:tcPr>
          <w:p w14:paraId="1193EA47" w14:textId="77777777" w:rsidR="00A01B51" w:rsidRPr="00AB5367" w:rsidRDefault="00A01B51" w:rsidP="00A01B51">
            <w:pPr>
              <w:spacing w:line="360" w:lineRule="auto"/>
              <w:jc w:val="center"/>
            </w:pPr>
            <w:r w:rsidRPr="00A01B51">
              <w:t>185.09</w:t>
            </w:r>
          </w:p>
        </w:tc>
        <w:tc>
          <w:tcPr>
            <w:tcW w:w="890" w:type="dxa"/>
            <w:tcBorders>
              <w:bottom w:val="single" w:sz="2" w:space="0" w:color="auto"/>
            </w:tcBorders>
            <w:vAlign w:val="center"/>
          </w:tcPr>
          <w:p w14:paraId="728F6C4C" w14:textId="77777777" w:rsidR="00A01B51" w:rsidRPr="00AB5367" w:rsidRDefault="00A01B51" w:rsidP="00A01B51">
            <w:pPr>
              <w:spacing w:line="360" w:lineRule="auto"/>
              <w:jc w:val="center"/>
            </w:pPr>
            <w:r w:rsidRPr="00A01B51">
              <w:t>213.83</w:t>
            </w:r>
          </w:p>
        </w:tc>
        <w:tc>
          <w:tcPr>
            <w:tcW w:w="1295" w:type="dxa"/>
            <w:tcBorders>
              <w:bottom w:val="single" w:sz="2" w:space="0" w:color="auto"/>
            </w:tcBorders>
            <w:vAlign w:val="center"/>
          </w:tcPr>
          <w:p w14:paraId="033A9CE5" w14:textId="77777777" w:rsidR="00A01B51" w:rsidRPr="00BB2547" w:rsidRDefault="00A01B51" w:rsidP="00BB2547">
            <w:pPr>
              <w:spacing w:line="360" w:lineRule="auto"/>
              <w:jc w:val="center"/>
            </w:pPr>
            <w:r w:rsidRPr="00BB2547">
              <w:t>19.489</w:t>
            </w:r>
          </w:p>
        </w:tc>
        <w:tc>
          <w:tcPr>
            <w:tcW w:w="821" w:type="dxa"/>
            <w:tcBorders>
              <w:bottom w:val="single" w:sz="2" w:space="0" w:color="auto"/>
            </w:tcBorders>
          </w:tcPr>
          <w:p w14:paraId="7AA1A546" w14:textId="77777777" w:rsidR="00A01B51" w:rsidRPr="00AB5367" w:rsidRDefault="00A01B51" w:rsidP="002E3503">
            <w:pPr>
              <w:spacing w:line="360" w:lineRule="auto"/>
              <w:jc w:val="center"/>
            </w:pPr>
            <w:r>
              <w:t>.002*</w:t>
            </w:r>
          </w:p>
        </w:tc>
      </w:tr>
    </w:tbl>
    <w:p w14:paraId="2AFCB9D6" w14:textId="77777777" w:rsidR="00A01B51" w:rsidRPr="00E77559" w:rsidRDefault="002C67F5" w:rsidP="002C67F5">
      <w:pPr>
        <w:spacing w:line="360" w:lineRule="auto"/>
        <w:jc w:val="both"/>
        <w:rPr>
          <w:rFonts w:eastAsia="Calibri"/>
        </w:rPr>
      </w:pPr>
      <w:r w:rsidRPr="009D5EF7">
        <w:rPr>
          <w:rFonts w:eastAsia="Calibri"/>
        </w:rPr>
        <w:t>*</w:t>
      </w:r>
      <w:r w:rsidRPr="00754266">
        <w:rPr>
          <w:rFonts w:eastAsia="Calibri"/>
          <w:lang w:val="en-US"/>
        </w:rPr>
        <w:t>p</w:t>
      </w:r>
      <w:r w:rsidRPr="009D5EF7">
        <w:rPr>
          <w:rFonts w:eastAsia="Calibri"/>
        </w:rPr>
        <w:t xml:space="preserve"> </w:t>
      </w:r>
      <w:r w:rsidRPr="00754266">
        <w:rPr>
          <w:rFonts w:eastAsia="Calibri"/>
          <w:lang w:val="en-US"/>
        </w:rPr>
        <w:t>level</w:t>
      </w:r>
      <w:r w:rsidRPr="009D5EF7">
        <w:rPr>
          <w:rFonts w:eastAsia="Calibri"/>
        </w:rPr>
        <w:t xml:space="preserve"> </w:t>
      </w:r>
      <w:r w:rsidRPr="00754266">
        <w:rPr>
          <w:rFonts w:eastAsia="Calibri"/>
          <w:lang w:val="en-US"/>
        </w:rPr>
        <w:t>at</w:t>
      </w:r>
      <w:r w:rsidRPr="009D5EF7">
        <w:rPr>
          <w:rFonts w:eastAsia="Calibri"/>
        </w:rPr>
        <w:t xml:space="preserve"> </w:t>
      </w:r>
      <w:r w:rsidRPr="00754266">
        <w:rPr>
          <w:rFonts w:eastAsia="Calibri"/>
          <w:i/>
          <w:lang w:val="en-US"/>
        </w:rPr>
        <w:t>P</w:t>
      </w:r>
      <w:r w:rsidRPr="009D5EF7">
        <w:rPr>
          <w:rFonts w:eastAsia="Calibri"/>
        </w:rPr>
        <w:t>&lt;0.0</w:t>
      </w:r>
      <w:r>
        <w:rPr>
          <w:rFonts w:eastAsia="Calibri"/>
        </w:rPr>
        <w:t>5</w:t>
      </w:r>
    </w:p>
    <w:p w14:paraId="3C72004A" w14:textId="77777777" w:rsidR="006A7609" w:rsidRPr="00F02F54" w:rsidRDefault="006A7609" w:rsidP="0073336A">
      <w:pPr>
        <w:autoSpaceDE w:val="0"/>
        <w:autoSpaceDN w:val="0"/>
        <w:adjustRightInd w:val="0"/>
        <w:jc w:val="both"/>
        <w:rPr>
          <w:sz w:val="12"/>
          <w:szCs w:val="12"/>
        </w:rPr>
      </w:pPr>
    </w:p>
    <w:p w14:paraId="7C81DD89" w14:textId="77777777" w:rsidR="00403EE9" w:rsidRDefault="00403EE9" w:rsidP="002C67F5">
      <w:pPr>
        <w:spacing w:before="120" w:line="360" w:lineRule="auto"/>
        <w:jc w:val="both"/>
        <w:rPr>
          <w:b/>
          <w:sz w:val="28"/>
          <w:szCs w:val="28"/>
          <w:lang w:val="el-GR"/>
        </w:rPr>
      </w:pPr>
    </w:p>
    <w:p w14:paraId="1D1CDBFD" w14:textId="77777777" w:rsidR="00403EE9" w:rsidRDefault="00403EE9" w:rsidP="002C67F5">
      <w:pPr>
        <w:spacing w:before="120" w:line="360" w:lineRule="auto"/>
        <w:jc w:val="both"/>
        <w:rPr>
          <w:b/>
          <w:sz w:val="28"/>
          <w:szCs w:val="28"/>
          <w:lang w:val="el-GR"/>
        </w:rPr>
      </w:pPr>
    </w:p>
    <w:p w14:paraId="77303F44" w14:textId="77777777" w:rsidR="002C67F5" w:rsidRPr="00DE400E" w:rsidRDefault="002C67F5" w:rsidP="00DE400E">
      <w:pPr>
        <w:pStyle w:val="2"/>
        <w:spacing w:before="0" w:line="360" w:lineRule="auto"/>
        <w:rPr>
          <w:b/>
          <w:sz w:val="28"/>
        </w:rPr>
      </w:pPr>
      <w:bookmarkStart w:id="60" w:name="_Toc493323996"/>
      <w:r w:rsidRPr="00DE400E">
        <w:rPr>
          <w:b/>
          <w:sz w:val="28"/>
        </w:rPr>
        <w:lastRenderedPageBreak/>
        <w:t xml:space="preserve">3.2. </w:t>
      </w:r>
      <w:r w:rsidR="00403EE9" w:rsidRPr="00DE400E">
        <w:rPr>
          <w:b/>
          <w:sz w:val="28"/>
        </w:rPr>
        <w:t>Αναλύσεις αξιοπιστίας</w:t>
      </w:r>
      <w:bookmarkEnd w:id="60"/>
    </w:p>
    <w:p w14:paraId="10F8030D" w14:textId="77777777" w:rsidR="00F22359" w:rsidRPr="0073336A" w:rsidRDefault="002C67F5" w:rsidP="00403EE9">
      <w:pPr>
        <w:spacing w:after="120" w:line="360" w:lineRule="auto"/>
        <w:jc w:val="both"/>
        <w:rPr>
          <w:lang w:val="el-GR"/>
        </w:rPr>
      </w:pPr>
      <w:r w:rsidRPr="00F446F6">
        <w:rPr>
          <w:lang w:val="el-GR"/>
        </w:rPr>
        <w:t>Με την χορήγηση της κλίμακας θέλαμε να αξιολογήσουμε κατά πόσο είναι αξιόπιστη και έγκυρη ως προς αυτό που θέλουμε να εξετάσουμε,</w:t>
      </w:r>
      <w:r w:rsidR="00DF1D82">
        <w:rPr>
          <w:lang w:val="el-GR"/>
        </w:rPr>
        <w:t xml:space="preserve"> δηλαδή την ύπαρξη </w:t>
      </w:r>
      <w:r w:rsidR="003E6418">
        <w:rPr>
          <w:lang w:val="el-GR"/>
        </w:rPr>
        <w:t>της δυσφαγίας.</w:t>
      </w:r>
      <w:r w:rsidRPr="00F446F6">
        <w:rPr>
          <w:lang w:val="el-GR"/>
        </w:rPr>
        <w:t xml:space="preserve"> Έτσι</w:t>
      </w:r>
      <w:r w:rsidR="00513D79">
        <w:rPr>
          <w:lang w:val="el-GR"/>
        </w:rPr>
        <w:t>,</w:t>
      </w:r>
      <w:r w:rsidRPr="00F446F6">
        <w:rPr>
          <w:lang w:val="el-GR"/>
        </w:rPr>
        <w:t xml:space="preserve"> διάφοροι έλεγχοι πραγματοποιήθηκαν. Όσον αφορά τον έλεγχο της εσωτερικής συνάφεια</w:t>
      </w:r>
      <w:r w:rsidR="00513D79">
        <w:rPr>
          <w:lang w:val="el-GR"/>
        </w:rPr>
        <w:t>ς</w:t>
      </w:r>
      <w:r w:rsidRPr="00F446F6">
        <w:rPr>
          <w:lang w:val="el-GR"/>
        </w:rPr>
        <w:t xml:space="preserve"> ή την ομοιογένεια για τα ερεθίσματα – εικόνες του τεστ ο συντελεστής </w:t>
      </w:r>
      <w:r w:rsidRPr="00B30B4B">
        <w:t>alpha</w:t>
      </w:r>
      <w:r w:rsidRPr="00F446F6">
        <w:rPr>
          <w:lang w:val="el-GR"/>
        </w:rPr>
        <w:t xml:space="preserve"> </w:t>
      </w:r>
      <w:r w:rsidRPr="00B30B4B">
        <w:t>Cronba</w:t>
      </w:r>
      <w:r w:rsidR="00F22359">
        <w:t>ch</w:t>
      </w:r>
      <w:r w:rsidR="00F22359" w:rsidRPr="00F446F6">
        <w:rPr>
          <w:lang w:val="el-GR"/>
        </w:rPr>
        <w:t>’</w:t>
      </w:r>
      <w:r w:rsidR="00F22359">
        <w:t>s</w:t>
      </w:r>
      <w:r w:rsidR="00F22359" w:rsidRPr="00F446F6">
        <w:rPr>
          <w:lang w:val="el-GR"/>
        </w:rPr>
        <w:t xml:space="preserve"> χρησιμοποιείτε στο δείγμα.</w:t>
      </w:r>
      <w:r w:rsidR="00C71E0B" w:rsidRPr="00C71E0B">
        <w:rPr>
          <w:lang w:val="el-GR"/>
        </w:rPr>
        <w:t xml:space="preserve"> </w:t>
      </w:r>
      <w:r w:rsidR="0073336A">
        <w:rPr>
          <w:lang w:val="el-GR"/>
        </w:rPr>
        <w:t xml:space="preserve">Συγκεκριμένα </w:t>
      </w:r>
      <w:proofErr w:type="spellStart"/>
      <w:r w:rsidR="0073336A" w:rsidRPr="0073336A">
        <w:rPr>
          <w:lang w:val="el-GR"/>
        </w:rPr>
        <w:t>Reliability</w:t>
      </w:r>
      <w:proofErr w:type="spellEnd"/>
      <w:r w:rsidR="0073336A" w:rsidRPr="0073336A">
        <w:rPr>
          <w:lang w:val="el-GR"/>
        </w:rPr>
        <w:t xml:space="preserve"> </w:t>
      </w:r>
      <w:proofErr w:type="spellStart"/>
      <w:r w:rsidR="0073336A" w:rsidRPr="0073336A">
        <w:rPr>
          <w:lang w:val="el-GR"/>
        </w:rPr>
        <w:t>Coefficients</w:t>
      </w:r>
      <w:proofErr w:type="spellEnd"/>
      <w:r w:rsidR="0073336A" w:rsidRPr="0073336A">
        <w:rPr>
          <w:lang w:val="el-GR"/>
        </w:rPr>
        <w:t xml:space="preserve"> 15 </w:t>
      </w:r>
      <w:proofErr w:type="spellStart"/>
      <w:r w:rsidR="0073336A" w:rsidRPr="0073336A">
        <w:rPr>
          <w:lang w:val="el-GR"/>
        </w:rPr>
        <w:t>items</w:t>
      </w:r>
      <w:proofErr w:type="spellEnd"/>
      <w:r w:rsidR="0073336A" w:rsidRPr="0073336A">
        <w:rPr>
          <w:lang w:val="el-GR"/>
        </w:rPr>
        <w:t xml:space="preserve"> </w:t>
      </w:r>
      <w:r w:rsidR="0073336A" w:rsidRPr="0073336A">
        <w:rPr>
          <w:b/>
          <w:lang w:val="el-GR"/>
        </w:rPr>
        <w:t>Alpha = .833</w:t>
      </w:r>
      <w:r w:rsidR="0073336A" w:rsidRPr="0073336A">
        <w:rPr>
          <w:lang w:val="el-GR"/>
        </w:rPr>
        <w:t xml:space="preserve"> </w:t>
      </w:r>
      <w:proofErr w:type="spellStart"/>
      <w:r w:rsidR="0073336A" w:rsidRPr="0073336A">
        <w:rPr>
          <w:lang w:val="el-GR"/>
        </w:rPr>
        <w:t>Standardized</w:t>
      </w:r>
      <w:proofErr w:type="spellEnd"/>
      <w:r w:rsidR="0073336A" w:rsidRPr="0073336A">
        <w:rPr>
          <w:lang w:val="el-GR"/>
        </w:rPr>
        <w:t xml:space="preserve"> </w:t>
      </w:r>
      <w:proofErr w:type="spellStart"/>
      <w:r w:rsidR="0073336A" w:rsidRPr="0073336A">
        <w:rPr>
          <w:lang w:val="el-GR"/>
        </w:rPr>
        <w:t>item</w:t>
      </w:r>
      <w:proofErr w:type="spellEnd"/>
      <w:r w:rsidR="0073336A" w:rsidRPr="0073336A">
        <w:rPr>
          <w:lang w:val="el-GR"/>
        </w:rPr>
        <w:t xml:space="preserve"> </w:t>
      </w:r>
      <w:proofErr w:type="spellStart"/>
      <w:r w:rsidR="0073336A" w:rsidRPr="0073336A">
        <w:rPr>
          <w:lang w:val="el-GR"/>
        </w:rPr>
        <w:t>alpha</w:t>
      </w:r>
      <w:proofErr w:type="spellEnd"/>
      <w:r w:rsidR="0073336A" w:rsidRPr="0073336A">
        <w:rPr>
          <w:lang w:val="el-GR"/>
        </w:rPr>
        <w:t xml:space="preserve"> = .867</w:t>
      </w:r>
      <w:r w:rsidR="0073336A">
        <w:rPr>
          <w:lang w:val="el-GR"/>
        </w:rPr>
        <w:t xml:space="preserve">. </w:t>
      </w:r>
      <w:r w:rsidR="00C71E0B" w:rsidRPr="00F446F6">
        <w:rPr>
          <w:lang w:val="el-GR"/>
        </w:rPr>
        <w:t xml:space="preserve">Για κάθε τομέα η </w:t>
      </w:r>
      <w:r w:rsidR="00C71E0B">
        <w:rPr>
          <w:lang w:val="en-US"/>
        </w:rPr>
        <w:t>Item</w:t>
      </w:r>
      <w:r w:rsidR="00C71E0B" w:rsidRPr="00F446F6">
        <w:rPr>
          <w:lang w:val="el-GR"/>
        </w:rPr>
        <w:t>-</w:t>
      </w:r>
      <w:r w:rsidR="00C71E0B">
        <w:rPr>
          <w:lang w:val="en-US"/>
        </w:rPr>
        <w:t>to</w:t>
      </w:r>
      <w:r w:rsidR="00C71E0B" w:rsidRPr="00F446F6">
        <w:rPr>
          <w:lang w:val="el-GR"/>
        </w:rPr>
        <w:t>-</w:t>
      </w:r>
      <w:r w:rsidR="00C71E0B">
        <w:rPr>
          <w:lang w:val="en-US"/>
        </w:rPr>
        <w:t>Item</w:t>
      </w:r>
      <w:r w:rsidR="00C71E0B" w:rsidRPr="00F446F6">
        <w:rPr>
          <w:lang w:val="el-GR"/>
        </w:rPr>
        <w:t xml:space="preserve"> </w:t>
      </w:r>
      <w:r w:rsidR="00C71E0B">
        <w:rPr>
          <w:lang w:val="en-US"/>
        </w:rPr>
        <w:t>Analysis</w:t>
      </w:r>
      <w:r w:rsidR="00C71E0B">
        <w:rPr>
          <w:lang w:val="el-GR"/>
        </w:rPr>
        <w:t xml:space="preserve"> συνοψίζεται στου πίνακες 3.5. έως 3.7.</w:t>
      </w:r>
      <w:r w:rsidR="0073336A">
        <w:rPr>
          <w:lang w:val="el-GR"/>
        </w:rPr>
        <w:t xml:space="preserve"> </w:t>
      </w:r>
      <w:r w:rsidRPr="00F446F6">
        <w:rPr>
          <w:rFonts w:eastAsia="Times New Roman"/>
          <w:lang w:val="el-GR"/>
        </w:rPr>
        <w:t xml:space="preserve">Επίσης ο δείκτης </w:t>
      </w:r>
      <w:r>
        <w:rPr>
          <w:rFonts w:eastAsia="Times New Roman"/>
          <w:lang w:val="en-US"/>
        </w:rPr>
        <w:t>alpha</w:t>
      </w:r>
      <w:r w:rsidRPr="00F446F6">
        <w:rPr>
          <w:rFonts w:eastAsia="Times New Roman"/>
          <w:lang w:val="el-GR"/>
        </w:rPr>
        <w:t xml:space="preserve"> </w:t>
      </w:r>
      <w:r>
        <w:rPr>
          <w:rFonts w:eastAsia="Times New Roman"/>
          <w:lang w:val="en-US"/>
        </w:rPr>
        <w:t>Cronbach</w:t>
      </w:r>
      <w:r w:rsidRPr="00F446F6">
        <w:rPr>
          <w:rFonts w:eastAsia="Times New Roman"/>
          <w:lang w:val="el-GR"/>
        </w:rPr>
        <w:t xml:space="preserve"> υπολογίστηκε </w:t>
      </w:r>
      <w:r w:rsidR="006C2342" w:rsidRPr="00F446F6">
        <w:rPr>
          <w:rFonts w:eastAsia="Times New Roman"/>
          <w:lang w:val="el-GR"/>
        </w:rPr>
        <w:t xml:space="preserve">με εξαίρεση ερωτήσεων από την κλίμακα </w:t>
      </w:r>
      <w:r w:rsidRPr="00F446F6">
        <w:rPr>
          <w:rFonts w:eastAsia="Times New Roman"/>
          <w:lang w:val="el-GR"/>
        </w:rPr>
        <w:t>και προέκυψαν:</w:t>
      </w:r>
      <w:r w:rsidR="0073336A">
        <w:rPr>
          <w:rFonts w:eastAsia="Times New Roman"/>
          <w:lang w:val="el-GR"/>
        </w:rPr>
        <w:t xml:space="preserve"> α) </w:t>
      </w:r>
      <w:r w:rsidRPr="00DD5D8D">
        <w:rPr>
          <w:rFonts w:eastAsia="Times New Roman"/>
          <w:b/>
          <w:i/>
          <w:lang w:val="el-GR"/>
        </w:rPr>
        <w:t xml:space="preserve">Για </w:t>
      </w:r>
      <w:r w:rsidR="000F563F" w:rsidRPr="00DD5D8D">
        <w:rPr>
          <w:rFonts w:eastAsia="Times New Roman"/>
          <w:b/>
          <w:i/>
          <w:lang w:val="el-GR"/>
        </w:rPr>
        <w:t xml:space="preserve">τις </w:t>
      </w:r>
      <w:r w:rsidR="00DD5D8D" w:rsidRPr="00DD5D8D">
        <w:rPr>
          <w:rFonts w:eastAsia="Times New Roman"/>
          <w:b/>
          <w:i/>
          <w:lang w:val="el-GR"/>
        </w:rPr>
        <w:t xml:space="preserve">δεκατρείς </w:t>
      </w:r>
      <w:r w:rsidR="000F563F" w:rsidRPr="00DD5D8D">
        <w:rPr>
          <w:rFonts w:eastAsia="Times New Roman"/>
          <w:b/>
          <w:i/>
          <w:lang w:val="el-GR"/>
        </w:rPr>
        <w:t xml:space="preserve">ερωτήσεις </w:t>
      </w:r>
      <w:r w:rsidR="000F563F">
        <w:rPr>
          <w:rFonts w:eastAsia="Times New Roman"/>
          <w:b/>
          <w:i/>
          <w:lang w:val="en-US"/>
        </w:rPr>
        <w:t>Likert</w:t>
      </w:r>
      <w:r w:rsidRPr="00DD5D8D">
        <w:rPr>
          <w:rFonts w:eastAsia="Times New Roman"/>
          <w:b/>
          <w:i/>
          <w:lang w:val="el-GR"/>
        </w:rPr>
        <w:t>:</w:t>
      </w:r>
      <w:r w:rsidR="0073336A">
        <w:rPr>
          <w:lang w:val="el-GR"/>
        </w:rPr>
        <w:t xml:space="preserve"> </w:t>
      </w:r>
      <w:r w:rsidRPr="00C71E0B">
        <w:rPr>
          <w:rFonts w:eastAsia="Times New Roman"/>
          <w:lang w:val="en-US"/>
        </w:rPr>
        <w:t>Reliability</w:t>
      </w:r>
      <w:r w:rsidRPr="0073336A">
        <w:rPr>
          <w:rFonts w:eastAsia="Times New Roman"/>
          <w:lang w:val="el-GR"/>
        </w:rPr>
        <w:t xml:space="preserve"> </w:t>
      </w:r>
      <w:r w:rsidRPr="00C71E0B">
        <w:rPr>
          <w:rFonts w:eastAsia="Times New Roman"/>
          <w:lang w:val="en-US"/>
        </w:rPr>
        <w:t>Coefficients</w:t>
      </w:r>
      <w:r w:rsidRPr="0073336A">
        <w:rPr>
          <w:rFonts w:eastAsia="Times New Roman"/>
          <w:lang w:val="el-GR"/>
        </w:rPr>
        <w:t xml:space="preserve"> </w:t>
      </w:r>
      <w:r w:rsidR="00C71E0B" w:rsidRPr="0073336A">
        <w:rPr>
          <w:rFonts w:eastAsia="Times New Roman"/>
          <w:lang w:val="el-GR"/>
        </w:rPr>
        <w:t>13</w:t>
      </w:r>
      <w:r w:rsidRPr="0073336A">
        <w:rPr>
          <w:rFonts w:eastAsia="Times New Roman"/>
          <w:lang w:val="el-GR"/>
        </w:rPr>
        <w:t xml:space="preserve"> </w:t>
      </w:r>
      <w:r w:rsidRPr="00C71E0B">
        <w:rPr>
          <w:rFonts w:eastAsia="Times New Roman"/>
          <w:lang w:val="en-US"/>
        </w:rPr>
        <w:t>items</w:t>
      </w:r>
      <w:r w:rsidRPr="0073336A">
        <w:rPr>
          <w:rFonts w:eastAsia="Times New Roman"/>
          <w:lang w:val="el-GR"/>
        </w:rPr>
        <w:t xml:space="preserve"> </w:t>
      </w:r>
      <w:r w:rsidRPr="00C71E0B">
        <w:rPr>
          <w:rFonts w:eastAsia="Times New Roman"/>
          <w:lang w:val="en-US"/>
        </w:rPr>
        <w:t>Alpha</w:t>
      </w:r>
      <w:r w:rsidRPr="0073336A">
        <w:rPr>
          <w:rFonts w:eastAsia="Times New Roman"/>
          <w:lang w:val="el-GR"/>
        </w:rPr>
        <w:t xml:space="preserve"> = .</w:t>
      </w:r>
      <w:r w:rsidR="00F25A0F" w:rsidRPr="0073336A">
        <w:rPr>
          <w:rFonts w:eastAsia="Times New Roman"/>
          <w:lang w:val="el-GR"/>
        </w:rPr>
        <w:t>856</w:t>
      </w:r>
      <w:r w:rsidRPr="0073336A">
        <w:rPr>
          <w:rFonts w:eastAsia="Times New Roman"/>
          <w:lang w:val="el-GR"/>
        </w:rPr>
        <w:t xml:space="preserve"> </w:t>
      </w:r>
      <w:r w:rsidRPr="00C71E0B">
        <w:rPr>
          <w:rFonts w:eastAsia="Times New Roman"/>
          <w:lang w:val="en-US"/>
        </w:rPr>
        <w:t>Standardized</w:t>
      </w:r>
      <w:r w:rsidRPr="0073336A">
        <w:rPr>
          <w:rFonts w:eastAsia="Times New Roman"/>
          <w:lang w:val="el-GR"/>
        </w:rPr>
        <w:t xml:space="preserve"> </w:t>
      </w:r>
      <w:r w:rsidRPr="00C71E0B">
        <w:rPr>
          <w:rFonts w:eastAsia="Times New Roman"/>
          <w:lang w:val="en-US"/>
        </w:rPr>
        <w:t>item</w:t>
      </w:r>
      <w:r w:rsidRPr="0073336A">
        <w:rPr>
          <w:rFonts w:eastAsia="Times New Roman"/>
          <w:lang w:val="el-GR"/>
        </w:rPr>
        <w:t xml:space="preserve"> </w:t>
      </w:r>
      <w:r w:rsidRPr="00C71E0B">
        <w:rPr>
          <w:rFonts w:eastAsia="Times New Roman"/>
          <w:lang w:val="en-US"/>
        </w:rPr>
        <w:t>alpha</w:t>
      </w:r>
      <w:r w:rsidRPr="0073336A">
        <w:rPr>
          <w:rFonts w:eastAsia="Times New Roman"/>
          <w:lang w:val="el-GR"/>
        </w:rPr>
        <w:t xml:space="preserve"> = .</w:t>
      </w:r>
      <w:r w:rsidR="00F25A0F" w:rsidRPr="0073336A">
        <w:rPr>
          <w:rFonts w:eastAsia="Times New Roman"/>
          <w:lang w:val="el-GR"/>
        </w:rPr>
        <w:t>867</w:t>
      </w:r>
      <w:r w:rsidRPr="0073336A">
        <w:rPr>
          <w:rFonts w:eastAsia="Times New Roman"/>
          <w:lang w:val="el-GR"/>
        </w:rPr>
        <w:t xml:space="preserve"> </w:t>
      </w:r>
      <w:r w:rsidR="0073336A">
        <w:rPr>
          <w:rFonts w:eastAsia="Times New Roman"/>
          <w:lang w:val="el-GR"/>
        </w:rPr>
        <w:t xml:space="preserve">και β) </w:t>
      </w:r>
      <w:r w:rsidR="00F22359" w:rsidRPr="00DD5D8D">
        <w:rPr>
          <w:b/>
          <w:i/>
          <w:lang w:val="el-GR"/>
        </w:rPr>
        <w:t xml:space="preserve">Για </w:t>
      </w:r>
      <w:r w:rsidR="00DD5D8D">
        <w:rPr>
          <w:b/>
          <w:i/>
          <w:lang w:val="el-GR"/>
        </w:rPr>
        <w:t>όλες τις 14</w:t>
      </w:r>
      <w:r w:rsidR="00F22359" w:rsidRPr="00DD5D8D">
        <w:rPr>
          <w:b/>
          <w:i/>
          <w:lang w:val="el-GR"/>
        </w:rPr>
        <w:t xml:space="preserve"> ερωτήσεις πλην της ερώτησης ΝΑΙ/ΟΧΙ:</w:t>
      </w:r>
      <w:r w:rsidR="0073336A">
        <w:rPr>
          <w:lang w:val="el-GR"/>
        </w:rPr>
        <w:t xml:space="preserve"> </w:t>
      </w:r>
      <w:r w:rsidR="00F22359" w:rsidRPr="00C71E0B">
        <w:rPr>
          <w:rFonts w:eastAsia="Times New Roman"/>
          <w:lang w:val="en-US"/>
        </w:rPr>
        <w:t>Reliability</w:t>
      </w:r>
      <w:r w:rsidR="00F22359" w:rsidRPr="0073336A">
        <w:rPr>
          <w:rFonts w:eastAsia="Times New Roman"/>
          <w:lang w:val="el-GR"/>
        </w:rPr>
        <w:t xml:space="preserve"> </w:t>
      </w:r>
      <w:r w:rsidR="00F22359" w:rsidRPr="00C71E0B">
        <w:rPr>
          <w:rFonts w:eastAsia="Times New Roman"/>
          <w:lang w:val="en-US"/>
        </w:rPr>
        <w:t>Coefficients</w:t>
      </w:r>
      <w:r w:rsidR="00F22359" w:rsidRPr="0073336A">
        <w:rPr>
          <w:rFonts w:eastAsia="Times New Roman"/>
          <w:lang w:val="el-GR"/>
        </w:rPr>
        <w:t xml:space="preserve"> 10 </w:t>
      </w:r>
      <w:r w:rsidR="00F22359" w:rsidRPr="00C71E0B">
        <w:rPr>
          <w:rFonts w:eastAsia="Times New Roman"/>
          <w:lang w:val="en-US"/>
        </w:rPr>
        <w:t>items</w:t>
      </w:r>
      <w:r w:rsidR="00F22359" w:rsidRPr="0073336A">
        <w:rPr>
          <w:rFonts w:eastAsia="Times New Roman"/>
          <w:lang w:val="el-GR"/>
        </w:rPr>
        <w:t xml:space="preserve"> </w:t>
      </w:r>
      <w:r w:rsidR="00F22359" w:rsidRPr="00C71E0B">
        <w:rPr>
          <w:rFonts w:eastAsia="Times New Roman"/>
          <w:lang w:val="en-US"/>
        </w:rPr>
        <w:t>Alpha</w:t>
      </w:r>
      <w:r w:rsidR="00F22359" w:rsidRPr="0073336A">
        <w:rPr>
          <w:rFonts w:eastAsia="Times New Roman"/>
          <w:lang w:val="el-GR"/>
        </w:rPr>
        <w:t xml:space="preserve"> = .</w:t>
      </w:r>
      <w:r w:rsidR="00F25A0F" w:rsidRPr="0073336A">
        <w:rPr>
          <w:rFonts w:eastAsia="Times New Roman"/>
          <w:lang w:val="el-GR"/>
        </w:rPr>
        <w:t>849</w:t>
      </w:r>
      <w:r w:rsidR="00F22359" w:rsidRPr="0073336A">
        <w:rPr>
          <w:rFonts w:eastAsia="Times New Roman"/>
          <w:lang w:val="el-GR"/>
        </w:rPr>
        <w:t xml:space="preserve"> </w:t>
      </w:r>
      <w:r w:rsidR="00F22359" w:rsidRPr="00C71E0B">
        <w:rPr>
          <w:rFonts w:eastAsia="Times New Roman"/>
          <w:lang w:val="en-US"/>
        </w:rPr>
        <w:t>Standardized</w:t>
      </w:r>
      <w:r w:rsidR="00F22359" w:rsidRPr="0073336A">
        <w:rPr>
          <w:rFonts w:eastAsia="Times New Roman"/>
          <w:lang w:val="el-GR"/>
        </w:rPr>
        <w:t xml:space="preserve"> </w:t>
      </w:r>
      <w:r w:rsidR="00F22359" w:rsidRPr="00C71E0B">
        <w:rPr>
          <w:rFonts w:eastAsia="Times New Roman"/>
          <w:lang w:val="en-US"/>
        </w:rPr>
        <w:t>item</w:t>
      </w:r>
      <w:r w:rsidR="00F22359" w:rsidRPr="0073336A">
        <w:rPr>
          <w:rFonts w:eastAsia="Times New Roman"/>
          <w:lang w:val="el-GR"/>
        </w:rPr>
        <w:t xml:space="preserve"> </w:t>
      </w:r>
      <w:r w:rsidR="00F22359" w:rsidRPr="00C71E0B">
        <w:rPr>
          <w:rFonts w:eastAsia="Times New Roman"/>
          <w:lang w:val="en-US"/>
        </w:rPr>
        <w:t>alpha</w:t>
      </w:r>
      <w:r w:rsidR="00F22359" w:rsidRPr="0073336A">
        <w:rPr>
          <w:rFonts w:eastAsia="Times New Roman"/>
          <w:lang w:val="el-GR"/>
        </w:rPr>
        <w:t xml:space="preserve"> = .</w:t>
      </w:r>
      <w:r w:rsidR="00F25A0F" w:rsidRPr="0073336A">
        <w:rPr>
          <w:rFonts w:eastAsia="Times New Roman"/>
          <w:lang w:val="el-GR"/>
        </w:rPr>
        <w:t>882</w:t>
      </w:r>
      <w:r w:rsidR="00F22359" w:rsidRPr="0073336A">
        <w:rPr>
          <w:rFonts w:eastAsia="Times New Roman"/>
          <w:lang w:val="el-GR"/>
        </w:rPr>
        <w:t xml:space="preserve"> </w:t>
      </w:r>
    </w:p>
    <w:p w14:paraId="1599BA34" w14:textId="77777777" w:rsidR="005D0950" w:rsidRPr="0073336A" w:rsidRDefault="005D0950" w:rsidP="0073336A">
      <w:pPr>
        <w:spacing w:line="360" w:lineRule="auto"/>
        <w:jc w:val="both"/>
        <w:rPr>
          <w:sz w:val="12"/>
          <w:szCs w:val="12"/>
          <w:lang w:val="el-GR"/>
        </w:rPr>
      </w:pPr>
    </w:p>
    <w:p w14:paraId="4589245F" w14:textId="77777777" w:rsidR="00F25A0F" w:rsidRPr="00B063E7" w:rsidRDefault="008A6984" w:rsidP="00C71E0B">
      <w:pPr>
        <w:spacing w:before="120" w:after="120" w:line="360" w:lineRule="auto"/>
        <w:jc w:val="both"/>
        <w:rPr>
          <w:b/>
          <w:lang w:val="el-GR"/>
        </w:rPr>
      </w:pPr>
      <w:r>
        <w:rPr>
          <w:b/>
          <w:lang w:val="el-GR"/>
        </w:rPr>
        <w:t>Πίνακας 3.5</w:t>
      </w:r>
      <w:r w:rsidR="000F563F" w:rsidRPr="00F446F6">
        <w:rPr>
          <w:b/>
          <w:lang w:val="el-GR"/>
        </w:rPr>
        <w:t xml:space="preserve">. </w:t>
      </w:r>
      <w:r w:rsidR="000F563F" w:rsidRPr="00695BAD">
        <w:rPr>
          <w:b/>
        </w:rPr>
        <w:t>Item</w:t>
      </w:r>
      <w:r w:rsidR="000F563F" w:rsidRPr="00F446F6">
        <w:rPr>
          <w:b/>
          <w:lang w:val="el-GR"/>
        </w:rPr>
        <w:t xml:space="preserve"> </w:t>
      </w:r>
      <w:r w:rsidR="000F563F" w:rsidRPr="00695BAD">
        <w:rPr>
          <w:b/>
        </w:rPr>
        <w:t>to</w:t>
      </w:r>
      <w:r w:rsidR="000F563F" w:rsidRPr="00F446F6">
        <w:rPr>
          <w:b/>
          <w:lang w:val="el-GR"/>
        </w:rPr>
        <w:t xml:space="preserve"> </w:t>
      </w:r>
      <w:r w:rsidR="000F563F" w:rsidRPr="00695BAD">
        <w:rPr>
          <w:b/>
        </w:rPr>
        <w:t>Item</w:t>
      </w:r>
      <w:r w:rsidR="000F563F" w:rsidRPr="00F446F6">
        <w:rPr>
          <w:b/>
          <w:lang w:val="el-GR"/>
        </w:rPr>
        <w:t xml:space="preserve"> Ανάλυση της Κλίμακας σε σχέση με τις 9 </w:t>
      </w:r>
      <w:r w:rsidR="000F563F">
        <w:rPr>
          <w:b/>
        </w:rPr>
        <w:t>Likert</w:t>
      </w:r>
      <w:r w:rsidR="000F563F" w:rsidRPr="00F446F6">
        <w:rPr>
          <w:b/>
          <w:lang w:val="el-GR"/>
        </w:rPr>
        <w:t xml:space="preserve"> ερωτήσεις του, για το Σύνολο του Δείγματος.</w:t>
      </w:r>
    </w:p>
    <w:tbl>
      <w:tblPr>
        <w:tblW w:w="7556" w:type="dxa"/>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16"/>
        <w:gridCol w:w="546"/>
        <w:gridCol w:w="546"/>
        <w:gridCol w:w="546"/>
        <w:gridCol w:w="546"/>
        <w:gridCol w:w="546"/>
        <w:gridCol w:w="546"/>
        <w:gridCol w:w="546"/>
        <w:gridCol w:w="546"/>
        <w:gridCol w:w="546"/>
        <w:gridCol w:w="546"/>
        <w:gridCol w:w="546"/>
        <w:gridCol w:w="546"/>
        <w:gridCol w:w="546"/>
      </w:tblGrid>
      <w:tr w:rsidR="00C71E0B" w:rsidRPr="00B063E7" w14:paraId="66FA9DC6" w14:textId="77777777" w:rsidTr="00C71E0B">
        <w:trPr>
          <w:jc w:val="center"/>
        </w:trPr>
        <w:tc>
          <w:tcPr>
            <w:tcW w:w="516"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75" w:type="dxa"/>
              <w:bottom w:w="0" w:type="dxa"/>
              <w:right w:w="75" w:type="dxa"/>
            </w:tcMar>
            <w:vAlign w:val="bottom"/>
            <w:hideMark/>
          </w:tcPr>
          <w:p w14:paraId="3945354A" w14:textId="77777777" w:rsidR="00F25A0F" w:rsidRPr="00B063E7" w:rsidRDefault="00F25A0F" w:rsidP="00B063E7">
            <w:pPr>
              <w:jc w:val="center"/>
              <w:rPr>
                <w:b/>
                <w:sz w:val="18"/>
                <w:szCs w:val="18"/>
                <w:lang w:val="el-GR"/>
              </w:rPr>
            </w:pPr>
          </w:p>
        </w:tc>
        <w:tc>
          <w:tcPr>
            <w:tcW w:w="546" w:type="dxa"/>
            <w:tcBorders>
              <w:top w:val="single" w:sz="12" w:space="0" w:color="000000"/>
              <w:left w:val="single" w:sz="12" w:space="0" w:color="000000"/>
              <w:bottom w:val="single" w:sz="12" w:space="0" w:color="000000"/>
              <w:right w:val="single" w:sz="6" w:space="0" w:color="000000"/>
            </w:tcBorders>
            <w:shd w:val="clear" w:color="auto" w:fill="FFFFFF"/>
            <w:tcMar>
              <w:top w:w="0" w:type="dxa"/>
              <w:left w:w="75" w:type="dxa"/>
              <w:bottom w:w="0" w:type="dxa"/>
              <w:right w:w="75" w:type="dxa"/>
            </w:tcMar>
            <w:vAlign w:val="bottom"/>
            <w:hideMark/>
          </w:tcPr>
          <w:p w14:paraId="2F1A3D7D" w14:textId="77777777" w:rsidR="00F25A0F" w:rsidRPr="00B063E7" w:rsidRDefault="00F25A0F" w:rsidP="00F25A0F">
            <w:pPr>
              <w:spacing w:line="240" w:lineRule="atLeast"/>
              <w:ind w:left="45"/>
              <w:jc w:val="center"/>
              <w:rPr>
                <w:rFonts w:ascii="Arial" w:hAnsi="Arial" w:cs="Arial"/>
                <w:b/>
                <w:sz w:val="18"/>
                <w:szCs w:val="18"/>
              </w:rPr>
            </w:pPr>
            <w:r w:rsidRPr="00B063E7">
              <w:rPr>
                <w:rFonts w:ascii="Arial" w:hAnsi="Arial" w:cs="Arial"/>
                <w:b/>
                <w:sz w:val="18"/>
                <w:szCs w:val="18"/>
              </w:rPr>
              <w:t>q1</w:t>
            </w:r>
          </w:p>
        </w:tc>
        <w:tc>
          <w:tcPr>
            <w:tcW w:w="546" w:type="dxa"/>
            <w:tcBorders>
              <w:top w:val="single" w:sz="12" w:space="0" w:color="000000"/>
              <w:left w:val="single" w:sz="6" w:space="0" w:color="000000"/>
              <w:bottom w:val="single" w:sz="12" w:space="0" w:color="000000"/>
              <w:right w:val="single" w:sz="6" w:space="0" w:color="000000"/>
            </w:tcBorders>
            <w:shd w:val="clear" w:color="auto" w:fill="FFFFFF"/>
            <w:tcMar>
              <w:top w:w="0" w:type="dxa"/>
              <w:left w:w="75" w:type="dxa"/>
              <w:bottom w:w="0" w:type="dxa"/>
              <w:right w:w="75" w:type="dxa"/>
            </w:tcMar>
            <w:vAlign w:val="bottom"/>
            <w:hideMark/>
          </w:tcPr>
          <w:p w14:paraId="1CB5A394" w14:textId="77777777" w:rsidR="00F25A0F" w:rsidRPr="00B063E7" w:rsidRDefault="00F25A0F" w:rsidP="00F25A0F">
            <w:pPr>
              <w:spacing w:line="240" w:lineRule="atLeast"/>
              <w:ind w:left="45"/>
              <w:jc w:val="center"/>
              <w:rPr>
                <w:rFonts w:ascii="Arial" w:hAnsi="Arial" w:cs="Arial"/>
                <w:b/>
                <w:sz w:val="18"/>
                <w:szCs w:val="18"/>
              </w:rPr>
            </w:pPr>
            <w:r w:rsidRPr="00B063E7">
              <w:rPr>
                <w:rFonts w:ascii="Arial" w:hAnsi="Arial" w:cs="Arial"/>
                <w:b/>
                <w:sz w:val="18"/>
                <w:szCs w:val="18"/>
              </w:rPr>
              <w:t>q2</w:t>
            </w:r>
          </w:p>
        </w:tc>
        <w:tc>
          <w:tcPr>
            <w:tcW w:w="546" w:type="dxa"/>
            <w:tcBorders>
              <w:top w:val="single" w:sz="12" w:space="0" w:color="000000"/>
              <w:left w:val="single" w:sz="6" w:space="0" w:color="000000"/>
              <w:bottom w:val="single" w:sz="12" w:space="0" w:color="000000"/>
              <w:right w:val="single" w:sz="6" w:space="0" w:color="000000"/>
            </w:tcBorders>
            <w:shd w:val="clear" w:color="auto" w:fill="FFFFFF"/>
            <w:tcMar>
              <w:top w:w="0" w:type="dxa"/>
              <w:left w:w="75" w:type="dxa"/>
              <w:bottom w:w="0" w:type="dxa"/>
              <w:right w:w="75" w:type="dxa"/>
            </w:tcMar>
            <w:vAlign w:val="bottom"/>
            <w:hideMark/>
          </w:tcPr>
          <w:p w14:paraId="7F511CF5" w14:textId="77777777" w:rsidR="00F25A0F" w:rsidRPr="00B063E7" w:rsidRDefault="00F25A0F" w:rsidP="00F25A0F">
            <w:pPr>
              <w:spacing w:line="240" w:lineRule="atLeast"/>
              <w:ind w:left="45"/>
              <w:jc w:val="center"/>
              <w:rPr>
                <w:rFonts w:ascii="Arial" w:hAnsi="Arial" w:cs="Arial"/>
                <w:b/>
                <w:sz w:val="18"/>
                <w:szCs w:val="18"/>
              </w:rPr>
            </w:pPr>
            <w:r w:rsidRPr="00B063E7">
              <w:rPr>
                <w:rFonts w:ascii="Arial" w:hAnsi="Arial" w:cs="Arial"/>
                <w:b/>
                <w:sz w:val="18"/>
                <w:szCs w:val="18"/>
              </w:rPr>
              <w:t>q2b</w:t>
            </w:r>
          </w:p>
        </w:tc>
        <w:tc>
          <w:tcPr>
            <w:tcW w:w="546" w:type="dxa"/>
            <w:tcBorders>
              <w:top w:val="single" w:sz="12" w:space="0" w:color="000000"/>
              <w:left w:val="single" w:sz="6" w:space="0" w:color="000000"/>
              <w:bottom w:val="single" w:sz="12" w:space="0" w:color="000000"/>
              <w:right w:val="single" w:sz="6" w:space="0" w:color="000000"/>
            </w:tcBorders>
            <w:shd w:val="clear" w:color="auto" w:fill="FFFFFF"/>
            <w:tcMar>
              <w:top w:w="0" w:type="dxa"/>
              <w:left w:w="75" w:type="dxa"/>
              <w:bottom w:w="0" w:type="dxa"/>
              <w:right w:w="75" w:type="dxa"/>
            </w:tcMar>
            <w:vAlign w:val="bottom"/>
            <w:hideMark/>
          </w:tcPr>
          <w:p w14:paraId="65D0EC0C" w14:textId="77777777" w:rsidR="00F25A0F" w:rsidRPr="00B063E7" w:rsidRDefault="00F25A0F" w:rsidP="00F25A0F">
            <w:pPr>
              <w:spacing w:line="240" w:lineRule="atLeast"/>
              <w:ind w:left="45"/>
              <w:jc w:val="center"/>
              <w:rPr>
                <w:rFonts w:ascii="Arial" w:hAnsi="Arial" w:cs="Arial"/>
                <w:b/>
                <w:sz w:val="18"/>
                <w:szCs w:val="18"/>
              </w:rPr>
            </w:pPr>
            <w:r w:rsidRPr="00B063E7">
              <w:rPr>
                <w:rFonts w:ascii="Arial" w:hAnsi="Arial" w:cs="Arial"/>
                <w:b/>
                <w:sz w:val="18"/>
                <w:szCs w:val="18"/>
              </w:rPr>
              <w:t>q3</w:t>
            </w:r>
          </w:p>
        </w:tc>
        <w:tc>
          <w:tcPr>
            <w:tcW w:w="546" w:type="dxa"/>
            <w:tcBorders>
              <w:top w:val="single" w:sz="12" w:space="0" w:color="000000"/>
              <w:left w:val="single" w:sz="6" w:space="0" w:color="000000"/>
              <w:bottom w:val="single" w:sz="12" w:space="0" w:color="000000"/>
              <w:right w:val="single" w:sz="6" w:space="0" w:color="000000"/>
            </w:tcBorders>
            <w:shd w:val="clear" w:color="auto" w:fill="FFFFFF"/>
            <w:tcMar>
              <w:top w:w="0" w:type="dxa"/>
              <w:left w:w="75" w:type="dxa"/>
              <w:bottom w:w="0" w:type="dxa"/>
              <w:right w:w="75" w:type="dxa"/>
            </w:tcMar>
            <w:vAlign w:val="bottom"/>
            <w:hideMark/>
          </w:tcPr>
          <w:p w14:paraId="1AFC6ABE" w14:textId="77777777" w:rsidR="00F25A0F" w:rsidRPr="00B063E7" w:rsidRDefault="00F25A0F" w:rsidP="00F25A0F">
            <w:pPr>
              <w:spacing w:line="240" w:lineRule="atLeast"/>
              <w:ind w:left="45"/>
              <w:jc w:val="center"/>
              <w:rPr>
                <w:rFonts w:ascii="Arial" w:hAnsi="Arial" w:cs="Arial"/>
                <w:b/>
                <w:sz w:val="18"/>
                <w:szCs w:val="18"/>
              </w:rPr>
            </w:pPr>
            <w:r w:rsidRPr="00B063E7">
              <w:rPr>
                <w:rFonts w:ascii="Arial" w:hAnsi="Arial" w:cs="Arial"/>
                <w:b/>
                <w:sz w:val="18"/>
                <w:szCs w:val="18"/>
              </w:rPr>
              <w:t>q3b</w:t>
            </w:r>
          </w:p>
        </w:tc>
        <w:tc>
          <w:tcPr>
            <w:tcW w:w="546" w:type="dxa"/>
            <w:tcBorders>
              <w:top w:val="single" w:sz="12" w:space="0" w:color="000000"/>
              <w:left w:val="single" w:sz="6" w:space="0" w:color="000000"/>
              <w:bottom w:val="single" w:sz="12" w:space="0" w:color="000000"/>
              <w:right w:val="single" w:sz="6" w:space="0" w:color="000000"/>
            </w:tcBorders>
            <w:shd w:val="clear" w:color="auto" w:fill="FFFFFF"/>
            <w:tcMar>
              <w:top w:w="0" w:type="dxa"/>
              <w:left w:w="75" w:type="dxa"/>
              <w:bottom w:w="0" w:type="dxa"/>
              <w:right w:w="75" w:type="dxa"/>
            </w:tcMar>
            <w:vAlign w:val="bottom"/>
            <w:hideMark/>
          </w:tcPr>
          <w:p w14:paraId="6097C174" w14:textId="77777777" w:rsidR="00F25A0F" w:rsidRPr="00B063E7" w:rsidRDefault="00F25A0F" w:rsidP="00F25A0F">
            <w:pPr>
              <w:spacing w:line="240" w:lineRule="atLeast"/>
              <w:ind w:left="45"/>
              <w:jc w:val="center"/>
              <w:rPr>
                <w:rFonts w:ascii="Arial" w:hAnsi="Arial" w:cs="Arial"/>
                <w:b/>
                <w:sz w:val="18"/>
                <w:szCs w:val="18"/>
              </w:rPr>
            </w:pPr>
            <w:r w:rsidRPr="00B063E7">
              <w:rPr>
                <w:rFonts w:ascii="Arial" w:hAnsi="Arial" w:cs="Arial"/>
                <w:b/>
                <w:sz w:val="18"/>
                <w:szCs w:val="18"/>
              </w:rPr>
              <w:t>q4</w:t>
            </w:r>
          </w:p>
        </w:tc>
        <w:tc>
          <w:tcPr>
            <w:tcW w:w="546" w:type="dxa"/>
            <w:tcBorders>
              <w:top w:val="single" w:sz="12" w:space="0" w:color="000000"/>
              <w:left w:val="single" w:sz="6" w:space="0" w:color="000000"/>
              <w:bottom w:val="single" w:sz="12" w:space="0" w:color="000000"/>
              <w:right w:val="single" w:sz="6" w:space="0" w:color="000000"/>
            </w:tcBorders>
            <w:shd w:val="clear" w:color="auto" w:fill="FFFFFF"/>
            <w:tcMar>
              <w:top w:w="0" w:type="dxa"/>
              <w:left w:w="75" w:type="dxa"/>
              <w:bottom w:w="0" w:type="dxa"/>
              <w:right w:w="75" w:type="dxa"/>
            </w:tcMar>
            <w:vAlign w:val="bottom"/>
            <w:hideMark/>
          </w:tcPr>
          <w:p w14:paraId="38E57574" w14:textId="77777777" w:rsidR="00F25A0F" w:rsidRPr="00B063E7" w:rsidRDefault="00F25A0F" w:rsidP="00F25A0F">
            <w:pPr>
              <w:spacing w:line="240" w:lineRule="atLeast"/>
              <w:ind w:left="45"/>
              <w:jc w:val="center"/>
              <w:rPr>
                <w:rFonts w:ascii="Arial" w:hAnsi="Arial" w:cs="Arial"/>
                <w:b/>
                <w:sz w:val="18"/>
                <w:szCs w:val="18"/>
              </w:rPr>
            </w:pPr>
            <w:r w:rsidRPr="00B063E7">
              <w:rPr>
                <w:rFonts w:ascii="Arial" w:hAnsi="Arial" w:cs="Arial"/>
                <w:b/>
                <w:sz w:val="18"/>
                <w:szCs w:val="18"/>
              </w:rPr>
              <w:t>q4b</w:t>
            </w:r>
          </w:p>
        </w:tc>
        <w:tc>
          <w:tcPr>
            <w:tcW w:w="546" w:type="dxa"/>
            <w:tcBorders>
              <w:top w:val="single" w:sz="12" w:space="0" w:color="000000"/>
              <w:left w:val="single" w:sz="6" w:space="0" w:color="000000"/>
              <w:bottom w:val="single" w:sz="12" w:space="0" w:color="000000"/>
              <w:right w:val="single" w:sz="6" w:space="0" w:color="000000"/>
            </w:tcBorders>
            <w:shd w:val="clear" w:color="auto" w:fill="FFFFFF"/>
            <w:tcMar>
              <w:top w:w="0" w:type="dxa"/>
              <w:left w:w="75" w:type="dxa"/>
              <w:bottom w:w="0" w:type="dxa"/>
              <w:right w:w="75" w:type="dxa"/>
            </w:tcMar>
            <w:vAlign w:val="bottom"/>
            <w:hideMark/>
          </w:tcPr>
          <w:p w14:paraId="55D7B5B6" w14:textId="77777777" w:rsidR="00F25A0F" w:rsidRPr="00B063E7" w:rsidRDefault="00F25A0F" w:rsidP="00F25A0F">
            <w:pPr>
              <w:spacing w:line="240" w:lineRule="atLeast"/>
              <w:ind w:left="45"/>
              <w:jc w:val="center"/>
              <w:rPr>
                <w:rFonts w:ascii="Arial" w:hAnsi="Arial" w:cs="Arial"/>
                <w:b/>
                <w:sz w:val="18"/>
                <w:szCs w:val="18"/>
              </w:rPr>
            </w:pPr>
            <w:r w:rsidRPr="00B063E7">
              <w:rPr>
                <w:rFonts w:ascii="Arial" w:hAnsi="Arial" w:cs="Arial"/>
                <w:b/>
                <w:sz w:val="18"/>
                <w:szCs w:val="18"/>
              </w:rPr>
              <w:t>q5</w:t>
            </w:r>
          </w:p>
        </w:tc>
        <w:tc>
          <w:tcPr>
            <w:tcW w:w="546" w:type="dxa"/>
            <w:tcBorders>
              <w:top w:val="single" w:sz="12" w:space="0" w:color="000000"/>
              <w:left w:val="single" w:sz="6" w:space="0" w:color="000000"/>
              <w:bottom w:val="single" w:sz="12" w:space="0" w:color="000000"/>
              <w:right w:val="single" w:sz="6" w:space="0" w:color="000000"/>
            </w:tcBorders>
            <w:shd w:val="clear" w:color="auto" w:fill="FFFFFF"/>
            <w:tcMar>
              <w:top w:w="0" w:type="dxa"/>
              <w:left w:w="75" w:type="dxa"/>
              <w:bottom w:w="0" w:type="dxa"/>
              <w:right w:w="75" w:type="dxa"/>
            </w:tcMar>
            <w:vAlign w:val="bottom"/>
            <w:hideMark/>
          </w:tcPr>
          <w:p w14:paraId="4F62E766" w14:textId="77777777" w:rsidR="00F25A0F" w:rsidRPr="00B063E7" w:rsidRDefault="00F25A0F" w:rsidP="00F25A0F">
            <w:pPr>
              <w:spacing w:line="240" w:lineRule="atLeast"/>
              <w:ind w:left="45"/>
              <w:jc w:val="center"/>
              <w:rPr>
                <w:rFonts w:ascii="Arial" w:hAnsi="Arial" w:cs="Arial"/>
                <w:b/>
                <w:sz w:val="18"/>
                <w:szCs w:val="18"/>
              </w:rPr>
            </w:pPr>
            <w:r w:rsidRPr="00B063E7">
              <w:rPr>
                <w:rFonts w:ascii="Arial" w:hAnsi="Arial" w:cs="Arial"/>
                <w:b/>
                <w:sz w:val="18"/>
                <w:szCs w:val="18"/>
              </w:rPr>
              <w:t>q5b</w:t>
            </w:r>
          </w:p>
        </w:tc>
        <w:tc>
          <w:tcPr>
            <w:tcW w:w="546" w:type="dxa"/>
            <w:tcBorders>
              <w:top w:val="single" w:sz="12" w:space="0" w:color="000000"/>
              <w:left w:val="single" w:sz="6" w:space="0" w:color="000000"/>
              <w:bottom w:val="single" w:sz="12" w:space="0" w:color="000000"/>
              <w:right w:val="single" w:sz="6" w:space="0" w:color="000000"/>
            </w:tcBorders>
            <w:shd w:val="clear" w:color="auto" w:fill="FFFFFF"/>
            <w:tcMar>
              <w:top w:w="0" w:type="dxa"/>
              <w:left w:w="75" w:type="dxa"/>
              <w:bottom w:w="0" w:type="dxa"/>
              <w:right w:w="75" w:type="dxa"/>
            </w:tcMar>
            <w:vAlign w:val="bottom"/>
            <w:hideMark/>
          </w:tcPr>
          <w:p w14:paraId="20541D8E" w14:textId="77777777" w:rsidR="00F25A0F" w:rsidRPr="00B063E7" w:rsidRDefault="00F25A0F" w:rsidP="00F25A0F">
            <w:pPr>
              <w:spacing w:line="240" w:lineRule="atLeast"/>
              <w:ind w:left="45"/>
              <w:jc w:val="center"/>
              <w:rPr>
                <w:rFonts w:ascii="Arial" w:hAnsi="Arial" w:cs="Arial"/>
                <w:b/>
                <w:sz w:val="18"/>
                <w:szCs w:val="18"/>
              </w:rPr>
            </w:pPr>
            <w:r w:rsidRPr="00B063E7">
              <w:rPr>
                <w:rFonts w:ascii="Arial" w:hAnsi="Arial" w:cs="Arial"/>
                <w:b/>
                <w:sz w:val="18"/>
                <w:szCs w:val="18"/>
              </w:rPr>
              <w:t>q6</w:t>
            </w:r>
          </w:p>
        </w:tc>
        <w:tc>
          <w:tcPr>
            <w:tcW w:w="546" w:type="dxa"/>
            <w:tcBorders>
              <w:top w:val="single" w:sz="12" w:space="0" w:color="000000"/>
              <w:left w:val="single" w:sz="6" w:space="0" w:color="000000"/>
              <w:bottom w:val="single" w:sz="12" w:space="0" w:color="000000"/>
              <w:right w:val="single" w:sz="6" w:space="0" w:color="000000"/>
            </w:tcBorders>
            <w:shd w:val="clear" w:color="auto" w:fill="FFFFFF"/>
            <w:tcMar>
              <w:top w:w="0" w:type="dxa"/>
              <w:left w:w="75" w:type="dxa"/>
              <w:bottom w:w="0" w:type="dxa"/>
              <w:right w:w="75" w:type="dxa"/>
            </w:tcMar>
            <w:vAlign w:val="bottom"/>
            <w:hideMark/>
          </w:tcPr>
          <w:p w14:paraId="55FEA0D5" w14:textId="77777777" w:rsidR="00F25A0F" w:rsidRPr="00B063E7" w:rsidRDefault="00F25A0F" w:rsidP="00F25A0F">
            <w:pPr>
              <w:spacing w:line="240" w:lineRule="atLeast"/>
              <w:ind w:left="45"/>
              <w:jc w:val="center"/>
              <w:rPr>
                <w:rFonts w:ascii="Arial" w:hAnsi="Arial" w:cs="Arial"/>
                <w:b/>
                <w:sz w:val="18"/>
                <w:szCs w:val="18"/>
              </w:rPr>
            </w:pPr>
            <w:r w:rsidRPr="00B063E7">
              <w:rPr>
                <w:rFonts w:ascii="Arial" w:hAnsi="Arial" w:cs="Arial"/>
                <w:b/>
                <w:sz w:val="18"/>
                <w:szCs w:val="18"/>
              </w:rPr>
              <w:t>q7</w:t>
            </w:r>
          </w:p>
        </w:tc>
        <w:tc>
          <w:tcPr>
            <w:tcW w:w="546" w:type="dxa"/>
            <w:tcBorders>
              <w:top w:val="single" w:sz="12" w:space="0" w:color="000000"/>
              <w:left w:val="single" w:sz="6" w:space="0" w:color="000000"/>
              <w:bottom w:val="single" w:sz="12" w:space="0" w:color="000000"/>
              <w:right w:val="single" w:sz="6" w:space="0" w:color="000000"/>
            </w:tcBorders>
            <w:shd w:val="clear" w:color="auto" w:fill="FFFFFF"/>
            <w:tcMar>
              <w:top w:w="0" w:type="dxa"/>
              <w:left w:w="75" w:type="dxa"/>
              <w:bottom w:w="0" w:type="dxa"/>
              <w:right w:w="75" w:type="dxa"/>
            </w:tcMar>
            <w:vAlign w:val="bottom"/>
            <w:hideMark/>
          </w:tcPr>
          <w:p w14:paraId="246CF9D3" w14:textId="77777777" w:rsidR="00F25A0F" w:rsidRPr="00B063E7" w:rsidRDefault="00F25A0F" w:rsidP="00F25A0F">
            <w:pPr>
              <w:spacing w:line="240" w:lineRule="atLeast"/>
              <w:ind w:left="45"/>
              <w:jc w:val="center"/>
              <w:rPr>
                <w:rFonts w:ascii="Arial" w:hAnsi="Arial" w:cs="Arial"/>
                <w:b/>
                <w:sz w:val="18"/>
                <w:szCs w:val="18"/>
              </w:rPr>
            </w:pPr>
            <w:r w:rsidRPr="00B063E7">
              <w:rPr>
                <w:rFonts w:ascii="Arial" w:hAnsi="Arial" w:cs="Arial"/>
                <w:b/>
                <w:sz w:val="18"/>
                <w:szCs w:val="18"/>
              </w:rPr>
              <w:t>q8</w:t>
            </w:r>
          </w:p>
        </w:tc>
        <w:tc>
          <w:tcPr>
            <w:tcW w:w="488" w:type="dxa"/>
            <w:tcBorders>
              <w:top w:val="single" w:sz="12" w:space="0" w:color="000000"/>
              <w:left w:val="single" w:sz="6" w:space="0" w:color="000000"/>
              <w:bottom w:val="single" w:sz="12" w:space="0" w:color="000000"/>
              <w:right w:val="single" w:sz="12" w:space="0" w:color="000000"/>
            </w:tcBorders>
            <w:shd w:val="clear" w:color="auto" w:fill="FFFFFF"/>
            <w:tcMar>
              <w:top w:w="0" w:type="dxa"/>
              <w:left w:w="75" w:type="dxa"/>
              <w:bottom w:w="0" w:type="dxa"/>
              <w:right w:w="75" w:type="dxa"/>
            </w:tcMar>
            <w:vAlign w:val="bottom"/>
            <w:hideMark/>
          </w:tcPr>
          <w:p w14:paraId="03B8E374" w14:textId="77777777" w:rsidR="00F25A0F" w:rsidRPr="00B063E7" w:rsidRDefault="00F25A0F" w:rsidP="00F25A0F">
            <w:pPr>
              <w:spacing w:line="240" w:lineRule="atLeast"/>
              <w:ind w:left="45"/>
              <w:jc w:val="center"/>
              <w:rPr>
                <w:rFonts w:ascii="Arial" w:hAnsi="Arial" w:cs="Arial"/>
                <w:b/>
                <w:sz w:val="18"/>
                <w:szCs w:val="18"/>
              </w:rPr>
            </w:pPr>
            <w:r w:rsidRPr="00B063E7">
              <w:rPr>
                <w:rFonts w:ascii="Arial" w:hAnsi="Arial" w:cs="Arial"/>
                <w:b/>
                <w:sz w:val="18"/>
                <w:szCs w:val="18"/>
              </w:rPr>
              <w:t>q9</w:t>
            </w:r>
          </w:p>
        </w:tc>
      </w:tr>
      <w:tr w:rsidR="00C71E0B" w:rsidRPr="00F25A0F" w14:paraId="032A61A9" w14:textId="77777777" w:rsidTr="00C71E0B">
        <w:trPr>
          <w:jc w:val="center"/>
        </w:trPr>
        <w:tc>
          <w:tcPr>
            <w:tcW w:w="516" w:type="dxa"/>
            <w:tcBorders>
              <w:top w:val="single" w:sz="12" w:space="0" w:color="000000"/>
              <w:left w:val="single" w:sz="12" w:space="0" w:color="000000"/>
              <w:bottom w:val="single" w:sz="6" w:space="0" w:color="CBCBCB"/>
              <w:right w:val="single" w:sz="12" w:space="0" w:color="000000"/>
            </w:tcBorders>
            <w:shd w:val="clear" w:color="auto" w:fill="FFFFFF"/>
            <w:tcMar>
              <w:top w:w="0" w:type="dxa"/>
              <w:left w:w="75" w:type="dxa"/>
              <w:bottom w:w="0" w:type="dxa"/>
              <w:right w:w="75" w:type="dxa"/>
            </w:tcMar>
            <w:hideMark/>
          </w:tcPr>
          <w:p w14:paraId="37839D75" w14:textId="77777777" w:rsidR="00B063E7" w:rsidRPr="00B063E7" w:rsidRDefault="00B063E7" w:rsidP="00B063E7">
            <w:pPr>
              <w:spacing w:line="240" w:lineRule="atLeast"/>
              <w:ind w:left="45"/>
              <w:jc w:val="center"/>
              <w:rPr>
                <w:rFonts w:ascii="Arial" w:hAnsi="Arial" w:cs="Arial"/>
                <w:b/>
                <w:sz w:val="18"/>
                <w:szCs w:val="18"/>
              </w:rPr>
            </w:pPr>
            <w:r w:rsidRPr="00B063E7">
              <w:rPr>
                <w:rFonts w:ascii="Arial" w:hAnsi="Arial" w:cs="Arial"/>
                <w:b/>
                <w:sz w:val="18"/>
                <w:szCs w:val="18"/>
              </w:rPr>
              <w:t>q1</w:t>
            </w:r>
          </w:p>
        </w:tc>
        <w:tc>
          <w:tcPr>
            <w:tcW w:w="546" w:type="dxa"/>
            <w:tcBorders>
              <w:top w:val="single" w:sz="12" w:space="0" w:color="000000"/>
              <w:left w:val="single" w:sz="12"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4F3C53E4" w14:textId="77777777" w:rsidR="00B063E7" w:rsidRPr="00F25A0F" w:rsidRDefault="00B063E7" w:rsidP="00F25A0F">
            <w:pPr>
              <w:spacing w:line="240" w:lineRule="atLeast"/>
              <w:ind w:left="45"/>
              <w:jc w:val="right"/>
              <w:rPr>
                <w:rFonts w:ascii="Arial" w:hAnsi="Arial" w:cs="Arial"/>
                <w:sz w:val="18"/>
                <w:szCs w:val="18"/>
              </w:rPr>
            </w:pPr>
            <w:r>
              <w:rPr>
                <w:rFonts w:ascii="Arial" w:hAnsi="Arial" w:cs="Arial"/>
                <w:sz w:val="18"/>
                <w:szCs w:val="18"/>
              </w:rPr>
              <w:t>1.00</w:t>
            </w:r>
          </w:p>
        </w:tc>
        <w:tc>
          <w:tcPr>
            <w:tcW w:w="546" w:type="dxa"/>
            <w:tcBorders>
              <w:top w:val="single" w:sz="12" w:space="0" w:color="000000"/>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586B291E" w14:textId="77777777" w:rsidR="00B063E7" w:rsidRPr="00F25A0F" w:rsidRDefault="00B063E7" w:rsidP="00F25A0F">
            <w:pPr>
              <w:spacing w:line="240" w:lineRule="atLeast"/>
              <w:ind w:left="45"/>
              <w:jc w:val="right"/>
              <w:rPr>
                <w:rFonts w:ascii="Arial" w:hAnsi="Arial" w:cs="Arial"/>
                <w:sz w:val="18"/>
                <w:szCs w:val="18"/>
              </w:rPr>
            </w:pPr>
          </w:p>
        </w:tc>
        <w:tc>
          <w:tcPr>
            <w:tcW w:w="546" w:type="dxa"/>
            <w:tcBorders>
              <w:top w:val="single" w:sz="12" w:space="0" w:color="000000"/>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22155531" w14:textId="77777777" w:rsidR="00B063E7" w:rsidRPr="00F25A0F" w:rsidRDefault="00B063E7" w:rsidP="00F25A0F">
            <w:pPr>
              <w:spacing w:line="240" w:lineRule="atLeast"/>
              <w:ind w:left="45"/>
              <w:jc w:val="right"/>
              <w:rPr>
                <w:rFonts w:ascii="Arial" w:hAnsi="Arial" w:cs="Arial"/>
                <w:sz w:val="18"/>
                <w:szCs w:val="18"/>
              </w:rPr>
            </w:pPr>
          </w:p>
        </w:tc>
        <w:tc>
          <w:tcPr>
            <w:tcW w:w="546" w:type="dxa"/>
            <w:tcBorders>
              <w:top w:val="single" w:sz="12" w:space="0" w:color="000000"/>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277204DB" w14:textId="77777777" w:rsidR="00B063E7" w:rsidRPr="00F25A0F" w:rsidRDefault="00B063E7" w:rsidP="00F25A0F">
            <w:pPr>
              <w:spacing w:line="240" w:lineRule="atLeast"/>
              <w:ind w:left="45"/>
              <w:jc w:val="right"/>
              <w:rPr>
                <w:rFonts w:ascii="Arial" w:hAnsi="Arial" w:cs="Arial"/>
                <w:sz w:val="18"/>
                <w:szCs w:val="18"/>
              </w:rPr>
            </w:pPr>
          </w:p>
        </w:tc>
        <w:tc>
          <w:tcPr>
            <w:tcW w:w="546" w:type="dxa"/>
            <w:tcBorders>
              <w:top w:val="single" w:sz="12" w:space="0" w:color="000000"/>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5C31070B" w14:textId="77777777" w:rsidR="00B063E7" w:rsidRPr="00F25A0F" w:rsidRDefault="00B063E7" w:rsidP="00F25A0F">
            <w:pPr>
              <w:spacing w:line="240" w:lineRule="atLeast"/>
              <w:ind w:left="45"/>
              <w:jc w:val="right"/>
              <w:rPr>
                <w:rFonts w:ascii="Arial" w:hAnsi="Arial" w:cs="Arial"/>
                <w:sz w:val="18"/>
                <w:szCs w:val="18"/>
              </w:rPr>
            </w:pPr>
          </w:p>
        </w:tc>
        <w:tc>
          <w:tcPr>
            <w:tcW w:w="546" w:type="dxa"/>
            <w:tcBorders>
              <w:top w:val="single" w:sz="12" w:space="0" w:color="000000"/>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5FE827C1" w14:textId="77777777" w:rsidR="00B063E7" w:rsidRPr="00F25A0F" w:rsidRDefault="00B063E7" w:rsidP="00F25A0F">
            <w:pPr>
              <w:spacing w:line="240" w:lineRule="atLeast"/>
              <w:ind w:left="45"/>
              <w:jc w:val="right"/>
              <w:rPr>
                <w:rFonts w:ascii="Arial" w:hAnsi="Arial" w:cs="Arial"/>
                <w:sz w:val="18"/>
                <w:szCs w:val="18"/>
              </w:rPr>
            </w:pPr>
          </w:p>
        </w:tc>
        <w:tc>
          <w:tcPr>
            <w:tcW w:w="546" w:type="dxa"/>
            <w:tcBorders>
              <w:top w:val="single" w:sz="12" w:space="0" w:color="000000"/>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684A137E" w14:textId="77777777" w:rsidR="00B063E7" w:rsidRPr="00F25A0F" w:rsidRDefault="00B063E7" w:rsidP="00F25A0F">
            <w:pPr>
              <w:spacing w:line="240" w:lineRule="atLeast"/>
              <w:ind w:left="45"/>
              <w:jc w:val="right"/>
              <w:rPr>
                <w:rFonts w:ascii="Arial" w:hAnsi="Arial" w:cs="Arial"/>
                <w:sz w:val="18"/>
                <w:szCs w:val="18"/>
              </w:rPr>
            </w:pPr>
          </w:p>
        </w:tc>
        <w:tc>
          <w:tcPr>
            <w:tcW w:w="546" w:type="dxa"/>
            <w:tcBorders>
              <w:top w:val="single" w:sz="12" w:space="0" w:color="000000"/>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7CDAB6B1" w14:textId="77777777" w:rsidR="00B063E7" w:rsidRPr="00F25A0F" w:rsidRDefault="00B063E7" w:rsidP="00F25A0F">
            <w:pPr>
              <w:spacing w:line="240" w:lineRule="atLeast"/>
              <w:ind w:left="45"/>
              <w:jc w:val="right"/>
              <w:rPr>
                <w:rFonts w:ascii="Arial" w:hAnsi="Arial" w:cs="Arial"/>
                <w:sz w:val="18"/>
                <w:szCs w:val="18"/>
              </w:rPr>
            </w:pPr>
          </w:p>
        </w:tc>
        <w:tc>
          <w:tcPr>
            <w:tcW w:w="546" w:type="dxa"/>
            <w:tcBorders>
              <w:top w:val="single" w:sz="12" w:space="0" w:color="000000"/>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6D9F900C" w14:textId="77777777" w:rsidR="00B063E7" w:rsidRPr="00F25A0F" w:rsidRDefault="00B063E7" w:rsidP="00F25A0F">
            <w:pPr>
              <w:spacing w:line="240" w:lineRule="atLeast"/>
              <w:ind w:left="45"/>
              <w:jc w:val="right"/>
              <w:rPr>
                <w:rFonts w:ascii="Arial" w:hAnsi="Arial" w:cs="Arial"/>
                <w:sz w:val="18"/>
                <w:szCs w:val="18"/>
              </w:rPr>
            </w:pPr>
          </w:p>
        </w:tc>
        <w:tc>
          <w:tcPr>
            <w:tcW w:w="546" w:type="dxa"/>
            <w:tcBorders>
              <w:top w:val="single" w:sz="12" w:space="0" w:color="000000"/>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1D65FDFE" w14:textId="77777777" w:rsidR="00B063E7" w:rsidRPr="00F25A0F" w:rsidRDefault="00B063E7" w:rsidP="00F25A0F">
            <w:pPr>
              <w:spacing w:line="240" w:lineRule="atLeast"/>
              <w:ind w:left="45"/>
              <w:jc w:val="right"/>
              <w:rPr>
                <w:rFonts w:ascii="Arial" w:hAnsi="Arial" w:cs="Arial"/>
                <w:sz w:val="18"/>
                <w:szCs w:val="18"/>
              </w:rPr>
            </w:pPr>
          </w:p>
        </w:tc>
        <w:tc>
          <w:tcPr>
            <w:tcW w:w="546" w:type="dxa"/>
            <w:tcBorders>
              <w:top w:val="single" w:sz="12" w:space="0" w:color="000000"/>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6CCDC6D2" w14:textId="77777777" w:rsidR="00B063E7" w:rsidRPr="00F25A0F" w:rsidRDefault="00B063E7" w:rsidP="00F25A0F">
            <w:pPr>
              <w:spacing w:line="240" w:lineRule="atLeast"/>
              <w:ind w:left="45"/>
              <w:jc w:val="right"/>
              <w:rPr>
                <w:rFonts w:ascii="Arial" w:hAnsi="Arial" w:cs="Arial"/>
                <w:sz w:val="18"/>
                <w:szCs w:val="18"/>
              </w:rPr>
            </w:pPr>
          </w:p>
        </w:tc>
        <w:tc>
          <w:tcPr>
            <w:tcW w:w="546" w:type="dxa"/>
            <w:tcBorders>
              <w:top w:val="single" w:sz="12" w:space="0" w:color="000000"/>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2D51666B" w14:textId="77777777" w:rsidR="00B063E7" w:rsidRPr="00F25A0F" w:rsidRDefault="00B063E7" w:rsidP="00F25A0F">
            <w:pPr>
              <w:spacing w:line="240" w:lineRule="atLeast"/>
              <w:ind w:left="45"/>
              <w:jc w:val="right"/>
              <w:rPr>
                <w:rFonts w:ascii="Arial" w:hAnsi="Arial" w:cs="Arial"/>
                <w:sz w:val="18"/>
                <w:szCs w:val="18"/>
              </w:rPr>
            </w:pPr>
          </w:p>
        </w:tc>
        <w:tc>
          <w:tcPr>
            <w:tcW w:w="488" w:type="dxa"/>
            <w:tcBorders>
              <w:top w:val="single" w:sz="12" w:space="0" w:color="000000"/>
              <w:left w:val="single" w:sz="6" w:space="0" w:color="000000"/>
              <w:bottom w:val="single" w:sz="6" w:space="0" w:color="CBCBCB"/>
              <w:right w:val="single" w:sz="12" w:space="0" w:color="000000"/>
            </w:tcBorders>
            <w:shd w:val="clear" w:color="auto" w:fill="FFFFFF"/>
            <w:tcMar>
              <w:top w:w="0" w:type="dxa"/>
              <w:left w:w="75" w:type="dxa"/>
              <w:bottom w:w="0" w:type="dxa"/>
              <w:right w:w="75" w:type="dxa"/>
            </w:tcMar>
            <w:vAlign w:val="center"/>
            <w:hideMark/>
          </w:tcPr>
          <w:p w14:paraId="26D2E1BA" w14:textId="77777777" w:rsidR="00B063E7" w:rsidRPr="00F25A0F" w:rsidRDefault="00B063E7" w:rsidP="00F25A0F">
            <w:pPr>
              <w:spacing w:line="240" w:lineRule="atLeast"/>
              <w:ind w:left="45"/>
              <w:jc w:val="right"/>
              <w:rPr>
                <w:rFonts w:ascii="Arial" w:hAnsi="Arial" w:cs="Arial"/>
                <w:sz w:val="18"/>
                <w:szCs w:val="18"/>
              </w:rPr>
            </w:pPr>
          </w:p>
        </w:tc>
      </w:tr>
      <w:tr w:rsidR="00C71E0B" w:rsidRPr="00F25A0F" w14:paraId="2BB0523D" w14:textId="77777777" w:rsidTr="00C71E0B">
        <w:trPr>
          <w:jc w:val="center"/>
        </w:trPr>
        <w:tc>
          <w:tcPr>
            <w:tcW w:w="516" w:type="dxa"/>
            <w:tcBorders>
              <w:top w:val="single" w:sz="6" w:space="0" w:color="CBCBCB"/>
              <w:left w:val="single" w:sz="12" w:space="0" w:color="000000"/>
              <w:bottom w:val="single" w:sz="6" w:space="0" w:color="CBCBCB"/>
              <w:right w:val="single" w:sz="12" w:space="0" w:color="000000"/>
            </w:tcBorders>
            <w:shd w:val="clear" w:color="auto" w:fill="FFFFFF"/>
            <w:tcMar>
              <w:top w:w="0" w:type="dxa"/>
              <w:left w:w="75" w:type="dxa"/>
              <w:bottom w:w="0" w:type="dxa"/>
              <w:right w:w="75" w:type="dxa"/>
            </w:tcMar>
            <w:hideMark/>
          </w:tcPr>
          <w:p w14:paraId="0BF12FA5" w14:textId="77777777" w:rsidR="00B063E7" w:rsidRPr="00B063E7" w:rsidRDefault="00B063E7" w:rsidP="00B063E7">
            <w:pPr>
              <w:spacing w:line="240" w:lineRule="atLeast"/>
              <w:ind w:left="45"/>
              <w:jc w:val="center"/>
              <w:rPr>
                <w:rFonts w:ascii="Arial" w:hAnsi="Arial" w:cs="Arial"/>
                <w:b/>
                <w:sz w:val="18"/>
                <w:szCs w:val="18"/>
              </w:rPr>
            </w:pPr>
            <w:r w:rsidRPr="00B063E7">
              <w:rPr>
                <w:rFonts w:ascii="Arial" w:hAnsi="Arial" w:cs="Arial"/>
                <w:b/>
                <w:sz w:val="18"/>
                <w:szCs w:val="18"/>
              </w:rPr>
              <w:lastRenderedPageBreak/>
              <w:t>q2</w:t>
            </w:r>
          </w:p>
        </w:tc>
        <w:tc>
          <w:tcPr>
            <w:tcW w:w="546" w:type="dxa"/>
            <w:tcBorders>
              <w:top w:val="single" w:sz="6" w:space="0" w:color="CBCBCB"/>
              <w:left w:val="single" w:sz="12"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3EBD769B"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.541</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057BE27B" w14:textId="77777777" w:rsidR="00B063E7" w:rsidRPr="00F25A0F" w:rsidRDefault="00B063E7" w:rsidP="00F25A0F">
            <w:pPr>
              <w:spacing w:line="240" w:lineRule="atLeast"/>
              <w:ind w:left="45"/>
              <w:jc w:val="right"/>
              <w:rPr>
                <w:rFonts w:ascii="Arial" w:hAnsi="Arial" w:cs="Arial"/>
                <w:sz w:val="18"/>
                <w:szCs w:val="18"/>
              </w:rPr>
            </w:pPr>
            <w:r>
              <w:rPr>
                <w:rFonts w:ascii="Arial" w:hAnsi="Arial" w:cs="Arial"/>
                <w:sz w:val="18"/>
                <w:szCs w:val="18"/>
              </w:rPr>
              <w:t>1.00</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7CAC4C7E" w14:textId="77777777" w:rsidR="00B063E7" w:rsidRPr="00F25A0F" w:rsidRDefault="00B063E7" w:rsidP="00F25A0F">
            <w:pPr>
              <w:spacing w:line="240" w:lineRule="atLeast"/>
              <w:ind w:left="45"/>
              <w:jc w:val="right"/>
              <w:rPr>
                <w:rFonts w:ascii="Arial" w:hAnsi="Arial" w:cs="Arial"/>
                <w:sz w:val="18"/>
                <w:szCs w:val="18"/>
              </w:rPr>
            </w:pP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78FF665F" w14:textId="77777777" w:rsidR="00B063E7" w:rsidRPr="00F25A0F" w:rsidRDefault="00B063E7" w:rsidP="00F25A0F">
            <w:pPr>
              <w:spacing w:line="240" w:lineRule="atLeast"/>
              <w:ind w:left="45"/>
              <w:jc w:val="right"/>
              <w:rPr>
                <w:rFonts w:ascii="Arial" w:hAnsi="Arial" w:cs="Arial"/>
                <w:sz w:val="18"/>
                <w:szCs w:val="18"/>
              </w:rPr>
            </w:pP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79073A3A" w14:textId="77777777" w:rsidR="00B063E7" w:rsidRPr="00F25A0F" w:rsidRDefault="00B063E7" w:rsidP="00F25A0F">
            <w:pPr>
              <w:spacing w:line="240" w:lineRule="atLeast"/>
              <w:ind w:left="45"/>
              <w:jc w:val="right"/>
              <w:rPr>
                <w:rFonts w:ascii="Arial" w:hAnsi="Arial" w:cs="Arial"/>
                <w:sz w:val="18"/>
                <w:szCs w:val="18"/>
              </w:rPr>
            </w:pP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2551BCAE" w14:textId="77777777" w:rsidR="00B063E7" w:rsidRPr="00F25A0F" w:rsidRDefault="00B063E7" w:rsidP="00F25A0F">
            <w:pPr>
              <w:spacing w:line="240" w:lineRule="atLeast"/>
              <w:ind w:left="45"/>
              <w:jc w:val="right"/>
              <w:rPr>
                <w:rFonts w:ascii="Arial" w:hAnsi="Arial" w:cs="Arial"/>
                <w:sz w:val="18"/>
                <w:szCs w:val="18"/>
              </w:rPr>
            </w:pP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4BC0318F" w14:textId="77777777" w:rsidR="00B063E7" w:rsidRPr="00F25A0F" w:rsidRDefault="00B063E7" w:rsidP="00F25A0F">
            <w:pPr>
              <w:spacing w:line="240" w:lineRule="atLeast"/>
              <w:ind w:left="45"/>
              <w:jc w:val="right"/>
              <w:rPr>
                <w:rFonts w:ascii="Arial" w:hAnsi="Arial" w:cs="Arial"/>
                <w:sz w:val="18"/>
                <w:szCs w:val="18"/>
              </w:rPr>
            </w:pP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273A0654" w14:textId="77777777" w:rsidR="00B063E7" w:rsidRPr="00F25A0F" w:rsidRDefault="00B063E7" w:rsidP="00F25A0F">
            <w:pPr>
              <w:spacing w:line="240" w:lineRule="atLeast"/>
              <w:ind w:left="45"/>
              <w:jc w:val="right"/>
              <w:rPr>
                <w:rFonts w:ascii="Arial" w:hAnsi="Arial" w:cs="Arial"/>
                <w:sz w:val="18"/>
                <w:szCs w:val="18"/>
              </w:rPr>
            </w:pP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78119403" w14:textId="77777777" w:rsidR="00B063E7" w:rsidRPr="00F25A0F" w:rsidRDefault="00B063E7" w:rsidP="00F25A0F">
            <w:pPr>
              <w:spacing w:line="240" w:lineRule="atLeast"/>
              <w:ind w:left="45"/>
              <w:jc w:val="right"/>
              <w:rPr>
                <w:rFonts w:ascii="Arial" w:hAnsi="Arial" w:cs="Arial"/>
                <w:sz w:val="18"/>
                <w:szCs w:val="18"/>
              </w:rPr>
            </w:pP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55682C94" w14:textId="77777777" w:rsidR="00B063E7" w:rsidRPr="00F25A0F" w:rsidRDefault="00B063E7" w:rsidP="00F25A0F">
            <w:pPr>
              <w:spacing w:line="240" w:lineRule="atLeast"/>
              <w:ind w:left="45"/>
              <w:jc w:val="right"/>
              <w:rPr>
                <w:rFonts w:ascii="Arial" w:hAnsi="Arial" w:cs="Arial"/>
                <w:sz w:val="18"/>
                <w:szCs w:val="18"/>
              </w:rPr>
            </w:pP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1882FC6A" w14:textId="77777777" w:rsidR="00B063E7" w:rsidRPr="00F25A0F" w:rsidRDefault="00B063E7" w:rsidP="00F25A0F">
            <w:pPr>
              <w:spacing w:line="240" w:lineRule="atLeast"/>
              <w:ind w:left="45"/>
              <w:jc w:val="right"/>
              <w:rPr>
                <w:rFonts w:ascii="Arial" w:hAnsi="Arial" w:cs="Arial"/>
                <w:sz w:val="18"/>
                <w:szCs w:val="18"/>
              </w:rPr>
            </w:pP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741A2F65" w14:textId="77777777" w:rsidR="00B063E7" w:rsidRPr="00F25A0F" w:rsidRDefault="00B063E7" w:rsidP="00F25A0F">
            <w:pPr>
              <w:spacing w:line="240" w:lineRule="atLeast"/>
              <w:ind w:left="45"/>
              <w:jc w:val="right"/>
              <w:rPr>
                <w:rFonts w:ascii="Arial" w:hAnsi="Arial" w:cs="Arial"/>
                <w:sz w:val="18"/>
                <w:szCs w:val="18"/>
              </w:rPr>
            </w:pPr>
          </w:p>
        </w:tc>
        <w:tc>
          <w:tcPr>
            <w:tcW w:w="488" w:type="dxa"/>
            <w:tcBorders>
              <w:top w:val="single" w:sz="6" w:space="0" w:color="CBCBCB"/>
              <w:left w:val="single" w:sz="6" w:space="0" w:color="000000"/>
              <w:bottom w:val="single" w:sz="6" w:space="0" w:color="CBCBCB"/>
              <w:right w:val="single" w:sz="12" w:space="0" w:color="000000"/>
            </w:tcBorders>
            <w:shd w:val="clear" w:color="auto" w:fill="FFFFFF"/>
            <w:tcMar>
              <w:top w:w="0" w:type="dxa"/>
              <w:left w:w="75" w:type="dxa"/>
              <w:bottom w:w="0" w:type="dxa"/>
              <w:right w:w="75" w:type="dxa"/>
            </w:tcMar>
            <w:vAlign w:val="center"/>
            <w:hideMark/>
          </w:tcPr>
          <w:p w14:paraId="2B991B12" w14:textId="77777777" w:rsidR="00B063E7" w:rsidRPr="00F25A0F" w:rsidRDefault="00B063E7" w:rsidP="00F25A0F">
            <w:pPr>
              <w:spacing w:line="240" w:lineRule="atLeast"/>
              <w:ind w:left="45"/>
              <w:jc w:val="right"/>
              <w:rPr>
                <w:rFonts w:ascii="Arial" w:hAnsi="Arial" w:cs="Arial"/>
                <w:sz w:val="18"/>
                <w:szCs w:val="18"/>
              </w:rPr>
            </w:pPr>
          </w:p>
        </w:tc>
      </w:tr>
      <w:tr w:rsidR="00C71E0B" w:rsidRPr="00F25A0F" w14:paraId="241FFFC6" w14:textId="77777777" w:rsidTr="00C71E0B">
        <w:trPr>
          <w:jc w:val="center"/>
        </w:trPr>
        <w:tc>
          <w:tcPr>
            <w:tcW w:w="516" w:type="dxa"/>
            <w:tcBorders>
              <w:top w:val="single" w:sz="6" w:space="0" w:color="CBCBCB"/>
              <w:left w:val="single" w:sz="12" w:space="0" w:color="000000"/>
              <w:bottom w:val="single" w:sz="6" w:space="0" w:color="CBCBCB"/>
              <w:right w:val="single" w:sz="12" w:space="0" w:color="000000"/>
            </w:tcBorders>
            <w:shd w:val="clear" w:color="auto" w:fill="FFFFFF"/>
            <w:tcMar>
              <w:top w:w="0" w:type="dxa"/>
              <w:left w:w="75" w:type="dxa"/>
              <w:bottom w:w="0" w:type="dxa"/>
              <w:right w:w="75" w:type="dxa"/>
            </w:tcMar>
            <w:hideMark/>
          </w:tcPr>
          <w:p w14:paraId="264FB9B1" w14:textId="77777777" w:rsidR="00B063E7" w:rsidRPr="00B063E7" w:rsidRDefault="00B063E7" w:rsidP="00B063E7">
            <w:pPr>
              <w:spacing w:line="240" w:lineRule="atLeast"/>
              <w:ind w:left="45"/>
              <w:jc w:val="center"/>
              <w:rPr>
                <w:rFonts w:ascii="Arial" w:hAnsi="Arial" w:cs="Arial"/>
                <w:b/>
                <w:sz w:val="18"/>
                <w:szCs w:val="18"/>
              </w:rPr>
            </w:pPr>
            <w:r w:rsidRPr="00B063E7">
              <w:rPr>
                <w:rFonts w:ascii="Arial" w:hAnsi="Arial" w:cs="Arial"/>
                <w:b/>
                <w:sz w:val="18"/>
                <w:szCs w:val="18"/>
              </w:rPr>
              <w:t>q2b</w:t>
            </w:r>
          </w:p>
        </w:tc>
        <w:tc>
          <w:tcPr>
            <w:tcW w:w="546" w:type="dxa"/>
            <w:tcBorders>
              <w:top w:val="single" w:sz="6" w:space="0" w:color="CBCBCB"/>
              <w:left w:val="single" w:sz="12"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5B93725F"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.465</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429793C2"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.610</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4C0C4CDF" w14:textId="77777777" w:rsidR="00B063E7" w:rsidRPr="00F25A0F" w:rsidRDefault="00B063E7" w:rsidP="00F25A0F">
            <w:pPr>
              <w:spacing w:line="240" w:lineRule="atLeast"/>
              <w:ind w:left="45"/>
              <w:jc w:val="right"/>
              <w:rPr>
                <w:rFonts w:ascii="Arial" w:hAnsi="Arial" w:cs="Arial"/>
                <w:sz w:val="18"/>
                <w:szCs w:val="18"/>
              </w:rPr>
            </w:pPr>
            <w:r>
              <w:rPr>
                <w:rFonts w:ascii="Arial" w:hAnsi="Arial" w:cs="Arial"/>
                <w:sz w:val="18"/>
                <w:szCs w:val="18"/>
              </w:rPr>
              <w:t>1.00</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0EEDE739" w14:textId="77777777" w:rsidR="00B063E7" w:rsidRPr="00F25A0F" w:rsidRDefault="00B063E7" w:rsidP="00F25A0F">
            <w:pPr>
              <w:spacing w:line="240" w:lineRule="atLeast"/>
              <w:ind w:left="45"/>
              <w:jc w:val="right"/>
              <w:rPr>
                <w:rFonts w:ascii="Arial" w:hAnsi="Arial" w:cs="Arial"/>
                <w:sz w:val="18"/>
                <w:szCs w:val="18"/>
              </w:rPr>
            </w:pP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57CC31E0" w14:textId="77777777" w:rsidR="00B063E7" w:rsidRPr="00F25A0F" w:rsidRDefault="00B063E7" w:rsidP="00F25A0F">
            <w:pPr>
              <w:spacing w:line="240" w:lineRule="atLeast"/>
              <w:ind w:left="45"/>
              <w:jc w:val="right"/>
              <w:rPr>
                <w:rFonts w:ascii="Arial" w:hAnsi="Arial" w:cs="Arial"/>
                <w:sz w:val="18"/>
                <w:szCs w:val="18"/>
              </w:rPr>
            </w:pP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4FA232BE" w14:textId="77777777" w:rsidR="00B063E7" w:rsidRPr="00F25A0F" w:rsidRDefault="00B063E7" w:rsidP="00F25A0F">
            <w:pPr>
              <w:spacing w:line="240" w:lineRule="atLeast"/>
              <w:ind w:left="45"/>
              <w:jc w:val="right"/>
              <w:rPr>
                <w:rFonts w:ascii="Arial" w:hAnsi="Arial" w:cs="Arial"/>
                <w:sz w:val="18"/>
                <w:szCs w:val="18"/>
              </w:rPr>
            </w:pP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1C819118" w14:textId="77777777" w:rsidR="00B063E7" w:rsidRPr="00F25A0F" w:rsidRDefault="00B063E7" w:rsidP="00F25A0F">
            <w:pPr>
              <w:spacing w:line="240" w:lineRule="atLeast"/>
              <w:ind w:left="45"/>
              <w:jc w:val="right"/>
              <w:rPr>
                <w:rFonts w:ascii="Arial" w:hAnsi="Arial" w:cs="Arial"/>
                <w:sz w:val="18"/>
                <w:szCs w:val="18"/>
              </w:rPr>
            </w:pP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31A8190A" w14:textId="77777777" w:rsidR="00B063E7" w:rsidRPr="00F25A0F" w:rsidRDefault="00B063E7" w:rsidP="00F25A0F">
            <w:pPr>
              <w:spacing w:line="240" w:lineRule="atLeast"/>
              <w:ind w:left="45"/>
              <w:jc w:val="right"/>
              <w:rPr>
                <w:rFonts w:ascii="Arial" w:hAnsi="Arial" w:cs="Arial"/>
                <w:sz w:val="18"/>
                <w:szCs w:val="18"/>
              </w:rPr>
            </w:pP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18D56DE0" w14:textId="77777777" w:rsidR="00B063E7" w:rsidRPr="00F25A0F" w:rsidRDefault="00B063E7" w:rsidP="00F25A0F">
            <w:pPr>
              <w:spacing w:line="240" w:lineRule="atLeast"/>
              <w:ind w:left="45"/>
              <w:jc w:val="right"/>
              <w:rPr>
                <w:rFonts w:ascii="Arial" w:hAnsi="Arial" w:cs="Arial"/>
                <w:sz w:val="18"/>
                <w:szCs w:val="18"/>
              </w:rPr>
            </w:pP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4EE4EAAA" w14:textId="77777777" w:rsidR="00B063E7" w:rsidRPr="00F25A0F" w:rsidRDefault="00B063E7" w:rsidP="00F25A0F">
            <w:pPr>
              <w:spacing w:line="240" w:lineRule="atLeast"/>
              <w:ind w:left="45"/>
              <w:jc w:val="right"/>
              <w:rPr>
                <w:rFonts w:ascii="Arial" w:hAnsi="Arial" w:cs="Arial"/>
                <w:sz w:val="18"/>
                <w:szCs w:val="18"/>
              </w:rPr>
            </w:pP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3F0B4FC1" w14:textId="77777777" w:rsidR="00B063E7" w:rsidRPr="00F25A0F" w:rsidRDefault="00B063E7" w:rsidP="00F25A0F">
            <w:pPr>
              <w:spacing w:line="240" w:lineRule="atLeast"/>
              <w:ind w:left="45"/>
              <w:jc w:val="right"/>
              <w:rPr>
                <w:rFonts w:ascii="Arial" w:hAnsi="Arial" w:cs="Arial"/>
                <w:sz w:val="18"/>
                <w:szCs w:val="18"/>
              </w:rPr>
            </w:pP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2FFF6A58" w14:textId="77777777" w:rsidR="00B063E7" w:rsidRPr="00F25A0F" w:rsidRDefault="00B063E7" w:rsidP="00F25A0F">
            <w:pPr>
              <w:spacing w:line="240" w:lineRule="atLeast"/>
              <w:ind w:left="45"/>
              <w:jc w:val="right"/>
              <w:rPr>
                <w:rFonts w:ascii="Arial" w:hAnsi="Arial" w:cs="Arial"/>
                <w:sz w:val="18"/>
                <w:szCs w:val="18"/>
              </w:rPr>
            </w:pPr>
          </w:p>
        </w:tc>
        <w:tc>
          <w:tcPr>
            <w:tcW w:w="488" w:type="dxa"/>
            <w:tcBorders>
              <w:top w:val="single" w:sz="6" w:space="0" w:color="CBCBCB"/>
              <w:left w:val="single" w:sz="6" w:space="0" w:color="000000"/>
              <w:bottom w:val="single" w:sz="6" w:space="0" w:color="CBCBCB"/>
              <w:right w:val="single" w:sz="12" w:space="0" w:color="000000"/>
            </w:tcBorders>
            <w:shd w:val="clear" w:color="auto" w:fill="FFFFFF"/>
            <w:tcMar>
              <w:top w:w="0" w:type="dxa"/>
              <w:left w:w="75" w:type="dxa"/>
              <w:bottom w:w="0" w:type="dxa"/>
              <w:right w:w="75" w:type="dxa"/>
            </w:tcMar>
            <w:vAlign w:val="center"/>
            <w:hideMark/>
          </w:tcPr>
          <w:p w14:paraId="749F7387" w14:textId="77777777" w:rsidR="00B063E7" w:rsidRPr="00F25A0F" w:rsidRDefault="00B063E7" w:rsidP="00F25A0F">
            <w:pPr>
              <w:spacing w:line="240" w:lineRule="atLeast"/>
              <w:ind w:left="45"/>
              <w:jc w:val="right"/>
              <w:rPr>
                <w:rFonts w:ascii="Arial" w:hAnsi="Arial" w:cs="Arial"/>
                <w:sz w:val="18"/>
                <w:szCs w:val="18"/>
              </w:rPr>
            </w:pPr>
          </w:p>
        </w:tc>
      </w:tr>
      <w:tr w:rsidR="00C71E0B" w:rsidRPr="00F25A0F" w14:paraId="395C8339" w14:textId="77777777" w:rsidTr="00C71E0B">
        <w:trPr>
          <w:jc w:val="center"/>
        </w:trPr>
        <w:tc>
          <w:tcPr>
            <w:tcW w:w="516" w:type="dxa"/>
            <w:tcBorders>
              <w:top w:val="single" w:sz="6" w:space="0" w:color="CBCBCB"/>
              <w:left w:val="single" w:sz="12" w:space="0" w:color="000000"/>
              <w:bottom w:val="single" w:sz="6" w:space="0" w:color="CBCBCB"/>
              <w:right w:val="single" w:sz="12" w:space="0" w:color="000000"/>
            </w:tcBorders>
            <w:shd w:val="clear" w:color="auto" w:fill="FFFFFF"/>
            <w:tcMar>
              <w:top w:w="0" w:type="dxa"/>
              <w:left w:w="75" w:type="dxa"/>
              <w:bottom w:w="0" w:type="dxa"/>
              <w:right w:w="75" w:type="dxa"/>
            </w:tcMar>
            <w:hideMark/>
          </w:tcPr>
          <w:p w14:paraId="7AA420F9" w14:textId="77777777" w:rsidR="00B063E7" w:rsidRPr="00B063E7" w:rsidRDefault="00B063E7" w:rsidP="00B063E7">
            <w:pPr>
              <w:spacing w:line="240" w:lineRule="atLeast"/>
              <w:ind w:left="45"/>
              <w:jc w:val="center"/>
              <w:rPr>
                <w:rFonts w:ascii="Arial" w:hAnsi="Arial" w:cs="Arial"/>
                <w:b/>
                <w:sz w:val="18"/>
                <w:szCs w:val="18"/>
              </w:rPr>
            </w:pPr>
            <w:r w:rsidRPr="00B063E7">
              <w:rPr>
                <w:rFonts w:ascii="Arial" w:hAnsi="Arial" w:cs="Arial"/>
                <w:b/>
                <w:sz w:val="18"/>
                <w:szCs w:val="18"/>
              </w:rPr>
              <w:t>q3</w:t>
            </w:r>
          </w:p>
        </w:tc>
        <w:tc>
          <w:tcPr>
            <w:tcW w:w="546" w:type="dxa"/>
            <w:tcBorders>
              <w:top w:val="single" w:sz="6" w:space="0" w:color="CBCBCB"/>
              <w:left w:val="single" w:sz="12"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0591ECB1"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.300</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4A31FC12"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.374</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7AA01A19"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.271</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6B162FEF" w14:textId="77777777" w:rsidR="00B063E7" w:rsidRPr="00F25A0F" w:rsidRDefault="00B063E7" w:rsidP="00F25A0F">
            <w:pPr>
              <w:spacing w:line="240" w:lineRule="atLeast"/>
              <w:ind w:left="45"/>
              <w:jc w:val="right"/>
              <w:rPr>
                <w:rFonts w:ascii="Arial" w:hAnsi="Arial" w:cs="Arial"/>
                <w:sz w:val="18"/>
                <w:szCs w:val="18"/>
              </w:rPr>
            </w:pPr>
            <w:r>
              <w:rPr>
                <w:rFonts w:ascii="Arial" w:hAnsi="Arial" w:cs="Arial"/>
                <w:sz w:val="18"/>
                <w:szCs w:val="18"/>
              </w:rPr>
              <w:t>1.00</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4D39D198" w14:textId="77777777" w:rsidR="00B063E7" w:rsidRPr="00F25A0F" w:rsidRDefault="00B063E7" w:rsidP="00F25A0F">
            <w:pPr>
              <w:spacing w:line="240" w:lineRule="atLeast"/>
              <w:ind w:left="45"/>
              <w:jc w:val="right"/>
              <w:rPr>
                <w:rFonts w:ascii="Arial" w:hAnsi="Arial" w:cs="Arial"/>
                <w:sz w:val="18"/>
                <w:szCs w:val="18"/>
              </w:rPr>
            </w:pP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3E2A921B" w14:textId="77777777" w:rsidR="00B063E7" w:rsidRPr="00F25A0F" w:rsidRDefault="00B063E7" w:rsidP="00F25A0F">
            <w:pPr>
              <w:spacing w:line="240" w:lineRule="atLeast"/>
              <w:ind w:left="45"/>
              <w:jc w:val="right"/>
              <w:rPr>
                <w:rFonts w:ascii="Arial" w:hAnsi="Arial" w:cs="Arial"/>
                <w:sz w:val="18"/>
                <w:szCs w:val="18"/>
              </w:rPr>
            </w:pP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0233E024" w14:textId="77777777" w:rsidR="00B063E7" w:rsidRPr="00F25A0F" w:rsidRDefault="00B063E7" w:rsidP="00F25A0F">
            <w:pPr>
              <w:spacing w:line="240" w:lineRule="atLeast"/>
              <w:ind w:left="45"/>
              <w:jc w:val="right"/>
              <w:rPr>
                <w:rFonts w:ascii="Arial" w:hAnsi="Arial" w:cs="Arial"/>
                <w:sz w:val="18"/>
                <w:szCs w:val="18"/>
              </w:rPr>
            </w:pP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1B2A7FC0" w14:textId="77777777" w:rsidR="00B063E7" w:rsidRPr="00F25A0F" w:rsidRDefault="00B063E7" w:rsidP="00F25A0F">
            <w:pPr>
              <w:spacing w:line="240" w:lineRule="atLeast"/>
              <w:ind w:left="45"/>
              <w:jc w:val="right"/>
              <w:rPr>
                <w:rFonts w:ascii="Arial" w:hAnsi="Arial" w:cs="Arial"/>
                <w:sz w:val="18"/>
                <w:szCs w:val="18"/>
              </w:rPr>
            </w:pP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4873A4D8" w14:textId="77777777" w:rsidR="00B063E7" w:rsidRPr="00F25A0F" w:rsidRDefault="00B063E7" w:rsidP="00F25A0F">
            <w:pPr>
              <w:spacing w:line="240" w:lineRule="atLeast"/>
              <w:ind w:left="45"/>
              <w:jc w:val="right"/>
              <w:rPr>
                <w:rFonts w:ascii="Arial" w:hAnsi="Arial" w:cs="Arial"/>
                <w:sz w:val="18"/>
                <w:szCs w:val="18"/>
              </w:rPr>
            </w:pP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1787D6E0" w14:textId="77777777" w:rsidR="00B063E7" w:rsidRPr="00F25A0F" w:rsidRDefault="00B063E7" w:rsidP="00F25A0F">
            <w:pPr>
              <w:spacing w:line="240" w:lineRule="atLeast"/>
              <w:ind w:left="45"/>
              <w:jc w:val="right"/>
              <w:rPr>
                <w:rFonts w:ascii="Arial" w:hAnsi="Arial" w:cs="Arial"/>
                <w:sz w:val="18"/>
                <w:szCs w:val="18"/>
              </w:rPr>
            </w:pP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514B1223" w14:textId="77777777" w:rsidR="00B063E7" w:rsidRPr="00F25A0F" w:rsidRDefault="00B063E7" w:rsidP="00F25A0F">
            <w:pPr>
              <w:spacing w:line="240" w:lineRule="atLeast"/>
              <w:ind w:left="45"/>
              <w:jc w:val="right"/>
              <w:rPr>
                <w:rFonts w:ascii="Arial" w:hAnsi="Arial" w:cs="Arial"/>
                <w:sz w:val="18"/>
                <w:szCs w:val="18"/>
              </w:rPr>
            </w:pP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48039C7C" w14:textId="77777777" w:rsidR="00B063E7" w:rsidRPr="00F25A0F" w:rsidRDefault="00B063E7" w:rsidP="00F25A0F">
            <w:pPr>
              <w:spacing w:line="240" w:lineRule="atLeast"/>
              <w:ind w:left="45"/>
              <w:jc w:val="right"/>
              <w:rPr>
                <w:rFonts w:ascii="Arial" w:hAnsi="Arial" w:cs="Arial"/>
                <w:sz w:val="18"/>
                <w:szCs w:val="18"/>
              </w:rPr>
            </w:pPr>
          </w:p>
        </w:tc>
        <w:tc>
          <w:tcPr>
            <w:tcW w:w="488" w:type="dxa"/>
            <w:tcBorders>
              <w:top w:val="single" w:sz="6" w:space="0" w:color="CBCBCB"/>
              <w:left w:val="single" w:sz="6" w:space="0" w:color="000000"/>
              <w:bottom w:val="single" w:sz="6" w:space="0" w:color="CBCBCB"/>
              <w:right w:val="single" w:sz="12" w:space="0" w:color="000000"/>
            </w:tcBorders>
            <w:shd w:val="clear" w:color="auto" w:fill="FFFFFF"/>
            <w:tcMar>
              <w:top w:w="0" w:type="dxa"/>
              <w:left w:w="75" w:type="dxa"/>
              <w:bottom w:w="0" w:type="dxa"/>
              <w:right w:w="75" w:type="dxa"/>
            </w:tcMar>
            <w:vAlign w:val="center"/>
            <w:hideMark/>
          </w:tcPr>
          <w:p w14:paraId="4D971DBC" w14:textId="77777777" w:rsidR="00B063E7" w:rsidRPr="00F25A0F" w:rsidRDefault="00B063E7" w:rsidP="00F25A0F">
            <w:pPr>
              <w:spacing w:line="240" w:lineRule="atLeast"/>
              <w:ind w:left="45"/>
              <w:jc w:val="right"/>
              <w:rPr>
                <w:rFonts w:ascii="Arial" w:hAnsi="Arial" w:cs="Arial"/>
                <w:sz w:val="18"/>
                <w:szCs w:val="18"/>
              </w:rPr>
            </w:pPr>
          </w:p>
        </w:tc>
      </w:tr>
      <w:tr w:rsidR="00C71E0B" w:rsidRPr="00F25A0F" w14:paraId="24679B4F" w14:textId="77777777" w:rsidTr="00C71E0B">
        <w:trPr>
          <w:jc w:val="center"/>
        </w:trPr>
        <w:tc>
          <w:tcPr>
            <w:tcW w:w="516" w:type="dxa"/>
            <w:tcBorders>
              <w:top w:val="single" w:sz="6" w:space="0" w:color="CBCBCB"/>
              <w:left w:val="single" w:sz="12" w:space="0" w:color="000000"/>
              <w:bottom w:val="single" w:sz="6" w:space="0" w:color="CBCBCB"/>
              <w:right w:val="single" w:sz="12" w:space="0" w:color="000000"/>
            </w:tcBorders>
            <w:shd w:val="clear" w:color="auto" w:fill="FFFFFF"/>
            <w:tcMar>
              <w:top w:w="0" w:type="dxa"/>
              <w:left w:w="75" w:type="dxa"/>
              <w:bottom w:w="0" w:type="dxa"/>
              <w:right w:w="75" w:type="dxa"/>
            </w:tcMar>
            <w:hideMark/>
          </w:tcPr>
          <w:p w14:paraId="2D22F7F3" w14:textId="77777777" w:rsidR="00B063E7" w:rsidRPr="00B063E7" w:rsidRDefault="00B063E7" w:rsidP="00B063E7">
            <w:pPr>
              <w:spacing w:line="240" w:lineRule="atLeast"/>
              <w:ind w:left="45"/>
              <w:jc w:val="center"/>
              <w:rPr>
                <w:rFonts w:ascii="Arial" w:hAnsi="Arial" w:cs="Arial"/>
                <w:b/>
                <w:sz w:val="18"/>
                <w:szCs w:val="18"/>
              </w:rPr>
            </w:pPr>
            <w:r w:rsidRPr="00B063E7">
              <w:rPr>
                <w:rFonts w:ascii="Arial" w:hAnsi="Arial" w:cs="Arial"/>
                <w:b/>
                <w:sz w:val="18"/>
                <w:szCs w:val="18"/>
              </w:rPr>
              <w:t>q3b</w:t>
            </w:r>
          </w:p>
        </w:tc>
        <w:tc>
          <w:tcPr>
            <w:tcW w:w="546" w:type="dxa"/>
            <w:tcBorders>
              <w:top w:val="single" w:sz="6" w:space="0" w:color="CBCBCB"/>
              <w:left w:val="single" w:sz="12"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318F01BD"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.364</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56428F0B"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.303</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52767B9A"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.501</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26709E49"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.610</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49751A1B" w14:textId="77777777" w:rsidR="00B063E7" w:rsidRPr="00F25A0F" w:rsidRDefault="00B063E7" w:rsidP="00F25A0F">
            <w:pPr>
              <w:spacing w:line="240" w:lineRule="atLeast"/>
              <w:ind w:left="45"/>
              <w:jc w:val="right"/>
              <w:rPr>
                <w:rFonts w:ascii="Arial" w:hAnsi="Arial" w:cs="Arial"/>
                <w:sz w:val="18"/>
                <w:szCs w:val="18"/>
              </w:rPr>
            </w:pPr>
            <w:r>
              <w:rPr>
                <w:rFonts w:ascii="Arial" w:hAnsi="Arial" w:cs="Arial"/>
                <w:sz w:val="18"/>
                <w:szCs w:val="18"/>
              </w:rPr>
              <w:t>1.00</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2C775181" w14:textId="77777777" w:rsidR="00B063E7" w:rsidRPr="00F25A0F" w:rsidRDefault="00B063E7" w:rsidP="00F25A0F">
            <w:pPr>
              <w:spacing w:line="240" w:lineRule="atLeast"/>
              <w:ind w:left="45"/>
              <w:jc w:val="right"/>
              <w:rPr>
                <w:rFonts w:ascii="Arial" w:hAnsi="Arial" w:cs="Arial"/>
                <w:sz w:val="18"/>
                <w:szCs w:val="18"/>
              </w:rPr>
            </w:pP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787E9794" w14:textId="77777777" w:rsidR="00B063E7" w:rsidRPr="00F25A0F" w:rsidRDefault="00B063E7" w:rsidP="00F25A0F">
            <w:pPr>
              <w:spacing w:line="240" w:lineRule="atLeast"/>
              <w:ind w:left="45"/>
              <w:jc w:val="right"/>
              <w:rPr>
                <w:rFonts w:ascii="Arial" w:hAnsi="Arial" w:cs="Arial"/>
                <w:sz w:val="18"/>
                <w:szCs w:val="18"/>
              </w:rPr>
            </w:pP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2B8A012D" w14:textId="77777777" w:rsidR="00B063E7" w:rsidRPr="00F25A0F" w:rsidRDefault="00B063E7" w:rsidP="00F25A0F">
            <w:pPr>
              <w:spacing w:line="240" w:lineRule="atLeast"/>
              <w:ind w:left="45"/>
              <w:jc w:val="right"/>
              <w:rPr>
                <w:rFonts w:ascii="Arial" w:hAnsi="Arial" w:cs="Arial"/>
                <w:sz w:val="18"/>
                <w:szCs w:val="18"/>
              </w:rPr>
            </w:pP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685BF14A" w14:textId="77777777" w:rsidR="00B063E7" w:rsidRPr="00F25A0F" w:rsidRDefault="00B063E7" w:rsidP="00F25A0F">
            <w:pPr>
              <w:spacing w:line="240" w:lineRule="atLeast"/>
              <w:ind w:left="45"/>
              <w:jc w:val="right"/>
              <w:rPr>
                <w:rFonts w:ascii="Arial" w:hAnsi="Arial" w:cs="Arial"/>
                <w:sz w:val="18"/>
                <w:szCs w:val="18"/>
              </w:rPr>
            </w:pP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2A448AD6" w14:textId="77777777" w:rsidR="00B063E7" w:rsidRPr="00F25A0F" w:rsidRDefault="00B063E7" w:rsidP="00F25A0F">
            <w:pPr>
              <w:spacing w:line="240" w:lineRule="atLeast"/>
              <w:ind w:left="45"/>
              <w:jc w:val="right"/>
              <w:rPr>
                <w:rFonts w:ascii="Arial" w:hAnsi="Arial" w:cs="Arial"/>
                <w:sz w:val="18"/>
                <w:szCs w:val="18"/>
              </w:rPr>
            </w:pP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228EFD40" w14:textId="77777777" w:rsidR="00B063E7" w:rsidRPr="00F25A0F" w:rsidRDefault="00B063E7" w:rsidP="00F25A0F">
            <w:pPr>
              <w:spacing w:line="240" w:lineRule="atLeast"/>
              <w:ind w:left="45"/>
              <w:jc w:val="right"/>
              <w:rPr>
                <w:rFonts w:ascii="Arial" w:hAnsi="Arial" w:cs="Arial"/>
                <w:sz w:val="18"/>
                <w:szCs w:val="18"/>
              </w:rPr>
            </w:pP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62963AFE" w14:textId="77777777" w:rsidR="00B063E7" w:rsidRPr="00F25A0F" w:rsidRDefault="00B063E7" w:rsidP="00F25A0F">
            <w:pPr>
              <w:spacing w:line="240" w:lineRule="atLeast"/>
              <w:ind w:left="45"/>
              <w:jc w:val="right"/>
              <w:rPr>
                <w:rFonts w:ascii="Arial" w:hAnsi="Arial" w:cs="Arial"/>
                <w:sz w:val="18"/>
                <w:szCs w:val="18"/>
              </w:rPr>
            </w:pPr>
          </w:p>
        </w:tc>
        <w:tc>
          <w:tcPr>
            <w:tcW w:w="488" w:type="dxa"/>
            <w:tcBorders>
              <w:top w:val="single" w:sz="6" w:space="0" w:color="CBCBCB"/>
              <w:left w:val="single" w:sz="6" w:space="0" w:color="000000"/>
              <w:bottom w:val="single" w:sz="6" w:space="0" w:color="CBCBCB"/>
              <w:right w:val="single" w:sz="12" w:space="0" w:color="000000"/>
            </w:tcBorders>
            <w:shd w:val="clear" w:color="auto" w:fill="FFFFFF"/>
            <w:tcMar>
              <w:top w:w="0" w:type="dxa"/>
              <w:left w:w="75" w:type="dxa"/>
              <w:bottom w:w="0" w:type="dxa"/>
              <w:right w:w="75" w:type="dxa"/>
            </w:tcMar>
            <w:vAlign w:val="center"/>
            <w:hideMark/>
          </w:tcPr>
          <w:p w14:paraId="38620BB3" w14:textId="77777777" w:rsidR="00B063E7" w:rsidRPr="00F25A0F" w:rsidRDefault="00B063E7" w:rsidP="00F25A0F">
            <w:pPr>
              <w:spacing w:line="240" w:lineRule="atLeast"/>
              <w:ind w:left="45"/>
              <w:jc w:val="right"/>
              <w:rPr>
                <w:rFonts w:ascii="Arial" w:hAnsi="Arial" w:cs="Arial"/>
                <w:sz w:val="18"/>
                <w:szCs w:val="18"/>
              </w:rPr>
            </w:pPr>
          </w:p>
        </w:tc>
      </w:tr>
      <w:tr w:rsidR="00C71E0B" w:rsidRPr="00F25A0F" w14:paraId="3C68068B" w14:textId="77777777" w:rsidTr="00C71E0B">
        <w:trPr>
          <w:jc w:val="center"/>
        </w:trPr>
        <w:tc>
          <w:tcPr>
            <w:tcW w:w="516" w:type="dxa"/>
            <w:tcBorders>
              <w:top w:val="single" w:sz="6" w:space="0" w:color="CBCBCB"/>
              <w:left w:val="single" w:sz="12" w:space="0" w:color="000000"/>
              <w:bottom w:val="single" w:sz="6" w:space="0" w:color="CBCBCB"/>
              <w:right w:val="single" w:sz="12" w:space="0" w:color="000000"/>
            </w:tcBorders>
            <w:shd w:val="clear" w:color="auto" w:fill="FFFFFF"/>
            <w:tcMar>
              <w:top w:w="0" w:type="dxa"/>
              <w:left w:w="75" w:type="dxa"/>
              <w:bottom w:w="0" w:type="dxa"/>
              <w:right w:w="75" w:type="dxa"/>
            </w:tcMar>
            <w:hideMark/>
          </w:tcPr>
          <w:p w14:paraId="35BDF1E7" w14:textId="77777777" w:rsidR="00B063E7" w:rsidRPr="00B063E7" w:rsidRDefault="00B063E7" w:rsidP="00B063E7">
            <w:pPr>
              <w:spacing w:line="240" w:lineRule="atLeast"/>
              <w:ind w:left="45"/>
              <w:jc w:val="center"/>
              <w:rPr>
                <w:rFonts w:ascii="Arial" w:hAnsi="Arial" w:cs="Arial"/>
                <w:b/>
                <w:sz w:val="18"/>
                <w:szCs w:val="18"/>
              </w:rPr>
            </w:pPr>
            <w:r w:rsidRPr="00B063E7">
              <w:rPr>
                <w:rFonts w:ascii="Arial" w:hAnsi="Arial" w:cs="Arial"/>
                <w:b/>
                <w:sz w:val="18"/>
                <w:szCs w:val="18"/>
              </w:rPr>
              <w:t>q4</w:t>
            </w:r>
          </w:p>
        </w:tc>
        <w:tc>
          <w:tcPr>
            <w:tcW w:w="546" w:type="dxa"/>
            <w:tcBorders>
              <w:top w:val="single" w:sz="6" w:space="0" w:color="CBCBCB"/>
              <w:left w:val="single" w:sz="12"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52F5FA57"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.350</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4191CA20"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.390</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11040465"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.366</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62295734"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.517</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67034ECA"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.359</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04F2809D" w14:textId="77777777" w:rsidR="00B063E7" w:rsidRPr="00F25A0F" w:rsidRDefault="00B063E7" w:rsidP="00F25A0F">
            <w:pPr>
              <w:spacing w:line="240" w:lineRule="atLeast"/>
              <w:ind w:left="45"/>
              <w:jc w:val="right"/>
              <w:rPr>
                <w:rFonts w:ascii="Arial" w:hAnsi="Arial" w:cs="Arial"/>
                <w:sz w:val="18"/>
                <w:szCs w:val="18"/>
              </w:rPr>
            </w:pPr>
            <w:r>
              <w:rPr>
                <w:rFonts w:ascii="Arial" w:hAnsi="Arial" w:cs="Arial"/>
                <w:sz w:val="18"/>
                <w:szCs w:val="18"/>
              </w:rPr>
              <w:t>1.00</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663CC9B8" w14:textId="77777777" w:rsidR="00B063E7" w:rsidRPr="00F25A0F" w:rsidRDefault="00B063E7" w:rsidP="00F25A0F">
            <w:pPr>
              <w:spacing w:line="240" w:lineRule="atLeast"/>
              <w:ind w:left="45"/>
              <w:jc w:val="right"/>
              <w:rPr>
                <w:rFonts w:ascii="Arial" w:hAnsi="Arial" w:cs="Arial"/>
                <w:sz w:val="18"/>
                <w:szCs w:val="18"/>
              </w:rPr>
            </w:pP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45138B02" w14:textId="77777777" w:rsidR="00B063E7" w:rsidRPr="00F25A0F" w:rsidRDefault="00B063E7" w:rsidP="00F25A0F">
            <w:pPr>
              <w:spacing w:line="240" w:lineRule="atLeast"/>
              <w:ind w:left="45"/>
              <w:jc w:val="right"/>
              <w:rPr>
                <w:rFonts w:ascii="Arial" w:hAnsi="Arial" w:cs="Arial"/>
                <w:sz w:val="18"/>
                <w:szCs w:val="18"/>
              </w:rPr>
            </w:pP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19C8AC89" w14:textId="77777777" w:rsidR="00B063E7" w:rsidRPr="00F25A0F" w:rsidRDefault="00B063E7" w:rsidP="00F25A0F">
            <w:pPr>
              <w:spacing w:line="240" w:lineRule="atLeast"/>
              <w:ind w:left="45"/>
              <w:jc w:val="right"/>
              <w:rPr>
                <w:rFonts w:ascii="Arial" w:hAnsi="Arial" w:cs="Arial"/>
                <w:sz w:val="18"/>
                <w:szCs w:val="18"/>
              </w:rPr>
            </w:pP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428FD152" w14:textId="77777777" w:rsidR="00B063E7" w:rsidRPr="00F25A0F" w:rsidRDefault="00B063E7" w:rsidP="00F25A0F">
            <w:pPr>
              <w:spacing w:line="240" w:lineRule="atLeast"/>
              <w:ind w:left="45"/>
              <w:jc w:val="right"/>
              <w:rPr>
                <w:rFonts w:ascii="Arial" w:hAnsi="Arial" w:cs="Arial"/>
                <w:sz w:val="18"/>
                <w:szCs w:val="18"/>
              </w:rPr>
            </w:pP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225E108E" w14:textId="77777777" w:rsidR="00B063E7" w:rsidRPr="00F25A0F" w:rsidRDefault="00B063E7" w:rsidP="00F25A0F">
            <w:pPr>
              <w:spacing w:line="240" w:lineRule="atLeast"/>
              <w:ind w:left="45"/>
              <w:jc w:val="right"/>
              <w:rPr>
                <w:rFonts w:ascii="Arial" w:hAnsi="Arial" w:cs="Arial"/>
                <w:sz w:val="18"/>
                <w:szCs w:val="18"/>
              </w:rPr>
            </w:pP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0DADE24B" w14:textId="77777777" w:rsidR="00B063E7" w:rsidRPr="00F25A0F" w:rsidRDefault="00B063E7" w:rsidP="00F25A0F">
            <w:pPr>
              <w:spacing w:line="240" w:lineRule="atLeast"/>
              <w:ind w:left="45"/>
              <w:jc w:val="right"/>
              <w:rPr>
                <w:rFonts w:ascii="Arial" w:hAnsi="Arial" w:cs="Arial"/>
                <w:sz w:val="18"/>
                <w:szCs w:val="18"/>
              </w:rPr>
            </w:pPr>
          </w:p>
        </w:tc>
        <w:tc>
          <w:tcPr>
            <w:tcW w:w="488" w:type="dxa"/>
            <w:tcBorders>
              <w:top w:val="single" w:sz="6" w:space="0" w:color="CBCBCB"/>
              <w:left w:val="single" w:sz="6" w:space="0" w:color="000000"/>
              <w:bottom w:val="single" w:sz="6" w:space="0" w:color="CBCBCB"/>
              <w:right w:val="single" w:sz="12" w:space="0" w:color="000000"/>
            </w:tcBorders>
            <w:shd w:val="clear" w:color="auto" w:fill="FFFFFF"/>
            <w:tcMar>
              <w:top w:w="0" w:type="dxa"/>
              <w:left w:w="75" w:type="dxa"/>
              <w:bottom w:w="0" w:type="dxa"/>
              <w:right w:w="75" w:type="dxa"/>
            </w:tcMar>
            <w:vAlign w:val="center"/>
            <w:hideMark/>
          </w:tcPr>
          <w:p w14:paraId="62CF0E64" w14:textId="77777777" w:rsidR="00B063E7" w:rsidRPr="00F25A0F" w:rsidRDefault="00B063E7" w:rsidP="00F25A0F">
            <w:pPr>
              <w:spacing w:line="240" w:lineRule="atLeast"/>
              <w:ind w:left="45"/>
              <w:jc w:val="right"/>
              <w:rPr>
                <w:rFonts w:ascii="Arial" w:hAnsi="Arial" w:cs="Arial"/>
                <w:sz w:val="18"/>
                <w:szCs w:val="18"/>
              </w:rPr>
            </w:pPr>
          </w:p>
        </w:tc>
      </w:tr>
      <w:tr w:rsidR="00C71E0B" w:rsidRPr="00F25A0F" w14:paraId="428D69CE" w14:textId="77777777" w:rsidTr="00C71E0B">
        <w:trPr>
          <w:jc w:val="center"/>
        </w:trPr>
        <w:tc>
          <w:tcPr>
            <w:tcW w:w="516" w:type="dxa"/>
            <w:tcBorders>
              <w:top w:val="single" w:sz="6" w:space="0" w:color="CBCBCB"/>
              <w:left w:val="single" w:sz="12" w:space="0" w:color="000000"/>
              <w:bottom w:val="single" w:sz="6" w:space="0" w:color="CBCBCB"/>
              <w:right w:val="single" w:sz="12" w:space="0" w:color="000000"/>
            </w:tcBorders>
            <w:shd w:val="clear" w:color="auto" w:fill="FFFFFF"/>
            <w:tcMar>
              <w:top w:w="0" w:type="dxa"/>
              <w:left w:w="75" w:type="dxa"/>
              <w:bottom w:w="0" w:type="dxa"/>
              <w:right w:w="75" w:type="dxa"/>
            </w:tcMar>
            <w:hideMark/>
          </w:tcPr>
          <w:p w14:paraId="7DCFD1C4" w14:textId="77777777" w:rsidR="00B063E7" w:rsidRPr="00B063E7" w:rsidRDefault="00B063E7" w:rsidP="00B063E7">
            <w:pPr>
              <w:spacing w:line="240" w:lineRule="atLeast"/>
              <w:ind w:left="45"/>
              <w:jc w:val="center"/>
              <w:rPr>
                <w:rFonts w:ascii="Arial" w:hAnsi="Arial" w:cs="Arial"/>
                <w:b/>
                <w:sz w:val="18"/>
                <w:szCs w:val="18"/>
              </w:rPr>
            </w:pPr>
            <w:r w:rsidRPr="00B063E7">
              <w:rPr>
                <w:rFonts w:ascii="Arial" w:hAnsi="Arial" w:cs="Arial"/>
                <w:b/>
                <w:sz w:val="18"/>
                <w:szCs w:val="18"/>
              </w:rPr>
              <w:t>q4b</w:t>
            </w:r>
          </w:p>
        </w:tc>
        <w:tc>
          <w:tcPr>
            <w:tcW w:w="546" w:type="dxa"/>
            <w:tcBorders>
              <w:top w:val="single" w:sz="6" w:space="0" w:color="CBCBCB"/>
              <w:left w:val="single" w:sz="12"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28AF5327"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.364</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6915B7E3"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.313</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013C6C91"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.494</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061D95C6"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.364</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38078F05"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.495</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150679BC"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.638</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3478DD64" w14:textId="77777777" w:rsidR="00B063E7" w:rsidRPr="00F25A0F" w:rsidRDefault="00B063E7" w:rsidP="00F25A0F">
            <w:pPr>
              <w:spacing w:line="240" w:lineRule="atLeast"/>
              <w:ind w:left="45"/>
              <w:jc w:val="right"/>
              <w:rPr>
                <w:rFonts w:ascii="Arial" w:hAnsi="Arial" w:cs="Arial"/>
                <w:sz w:val="18"/>
                <w:szCs w:val="18"/>
              </w:rPr>
            </w:pPr>
            <w:r>
              <w:rPr>
                <w:rFonts w:ascii="Arial" w:hAnsi="Arial" w:cs="Arial"/>
                <w:sz w:val="18"/>
                <w:szCs w:val="18"/>
              </w:rPr>
              <w:t>1.00</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1BD212BB" w14:textId="77777777" w:rsidR="00B063E7" w:rsidRPr="00F25A0F" w:rsidRDefault="00B063E7" w:rsidP="00F25A0F">
            <w:pPr>
              <w:spacing w:line="240" w:lineRule="atLeast"/>
              <w:ind w:left="45"/>
              <w:jc w:val="right"/>
              <w:rPr>
                <w:rFonts w:ascii="Arial" w:hAnsi="Arial" w:cs="Arial"/>
                <w:sz w:val="18"/>
                <w:szCs w:val="18"/>
              </w:rPr>
            </w:pP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65255BC2" w14:textId="77777777" w:rsidR="00B063E7" w:rsidRPr="00F25A0F" w:rsidRDefault="00B063E7" w:rsidP="00F25A0F">
            <w:pPr>
              <w:spacing w:line="240" w:lineRule="atLeast"/>
              <w:ind w:left="45"/>
              <w:jc w:val="right"/>
              <w:rPr>
                <w:rFonts w:ascii="Arial" w:hAnsi="Arial" w:cs="Arial"/>
                <w:sz w:val="18"/>
                <w:szCs w:val="18"/>
              </w:rPr>
            </w:pP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653E1AC9" w14:textId="77777777" w:rsidR="00B063E7" w:rsidRPr="00F25A0F" w:rsidRDefault="00B063E7" w:rsidP="00F25A0F">
            <w:pPr>
              <w:spacing w:line="240" w:lineRule="atLeast"/>
              <w:ind w:left="45"/>
              <w:jc w:val="right"/>
              <w:rPr>
                <w:rFonts w:ascii="Arial" w:hAnsi="Arial" w:cs="Arial"/>
                <w:sz w:val="18"/>
                <w:szCs w:val="18"/>
              </w:rPr>
            </w:pP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1A966DC9" w14:textId="77777777" w:rsidR="00B063E7" w:rsidRPr="00F25A0F" w:rsidRDefault="00B063E7" w:rsidP="00F25A0F">
            <w:pPr>
              <w:spacing w:line="240" w:lineRule="atLeast"/>
              <w:ind w:left="45"/>
              <w:jc w:val="right"/>
              <w:rPr>
                <w:rFonts w:ascii="Arial" w:hAnsi="Arial" w:cs="Arial"/>
                <w:sz w:val="18"/>
                <w:szCs w:val="18"/>
              </w:rPr>
            </w:pP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17FE668E" w14:textId="77777777" w:rsidR="00B063E7" w:rsidRPr="00F25A0F" w:rsidRDefault="00B063E7" w:rsidP="00F25A0F">
            <w:pPr>
              <w:spacing w:line="240" w:lineRule="atLeast"/>
              <w:ind w:left="45"/>
              <w:jc w:val="right"/>
              <w:rPr>
                <w:rFonts w:ascii="Arial" w:hAnsi="Arial" w:cs="Arial"/>
                <w:sz w:val="18"/>
                <w:szCs w:val="18"/>
              </w:rPr>
            </w:pPr>
          </w:p>
        </w:tc>
        <w:tc>
          <w:tcPr>
            <w:tcW w:w="488" w:type="dxa"/>
            <w:tcBorders>
              <w:top w:val="single" w:sz="6" w:space="0" w:color="CBCBCB"/>
              <w:left w:val="single" w:sz="6" w:space="0" w:color="000000"/>
              <w:bottom w:val="single" w:sz="6" w:space="0" w:color="CBCBCB"/>
              <w:right w:val="single" w:sz="12" w:space="0" w:color="000000"/>
            </w:tcBorders>
            <w:shd w:val="clear" w:color="auto" w:fill="FFFFFF"/>
            <w:tcMar>
              <w:top w:w="0" w:type="dxa"/>
              <w:left w:w="75" w:type="dxa"/>
              <w:bottom w:w="0" w:type="dxa"/>
              <w:right w:w="75" w:type="dxa"/>
            </w:tcMar>
            <w:vAlign w:val="center"/>
            <w:hideMark/>
          </w:tcPr>
          <w:p w14:paraId="15B10159" w14:textId="77777777" w:rsidR="00B063E7" w:rsidRPr="00F25A0F" w:rsidRDefault="00B063E7" w:rsidP="00F25A0F">
            <w:pPr>
              <w:spacing w:line="240" w:lineRule="atLeast"/>
              <w:ind w:left="45"/>
              <w:jc w:val="right"/>
              <w:rPr>
                <w:rFonts w:ascii="Arial" w:hAnsi="Arial" w:cs="Arial"/>
                <w:sz w:val="18"/>
                <w:szCs w:val="18"/>
              </w:rPr>
            </w:pPr>
          </w:p>
        </w:tc>
      </w:tr>
      <w:tr w:rsidR="00C71E0B" w:rsidRPr="00F25A0F" w14:paraId="5C1B1E45" w14:textId="77777777" w:rsidTr="00C71E0B">
        <w:trPr>
          <w:jc w:val="center"/>
        </w:trPr>
        <w:tc>
          <w:tcPr>
            <w:tcW w:w="516" w:type="dxa"/>
            <w:tcBorders>
              <w:top w:val="single" w:sz="6" w:space="0" w:color="CBCBCB"/>
              <w:left w:val="single" w:sz="12" w:space="0" w:color="000000"/>
              <w:bottom w:val="single" w:sz="6" w:space="0" w:color="CBCBCB"/>
              <w:right w:val="single" w:sz="12" w:space="0" w:color="000000"/>
            </w:tcBorders>
            <w:shd w:val="clear" w:color="auto" w:fill="FFFFFF"/>
            <w:tcMar>
              <w:top w:w="0" w:type="dxa"/>
              <w:left w:w="75" w:type="dxa"/>
              <w:bottom w:w="0" w:type="dxa"/>
              <w:right w:w="75" w:type="dxa"/>
            </w:tcMar>
            <w:hideMark/>
          </w:tcPr>
          <w:p w14:paraId="4620DFB3" w14:textId="77777777" w:rsidR="00B063E7" w:rsidRPr="00B063E7" w:rsidRDefault="00B063E7" w:rsidP="00B063E7">
            <w:pPr>
              <w:spacing w:line="240" w:lineRule="atLeast"/>
              <w:ind w:left="45"/>
              <w:jc w:val="center"/>
              <w:rPr>
                <w:rFonts w:ascii="Arial" w:hAnsi="Arial" w:cs="Arial"/>
                <w:b/>
                <w:sz w:val="18"/>
                <w:szCs w:val="18"/>
              </w:rPr>
            </w:pPr>
            <w:r w:rsidRPr="00B063E7">
              <w:rPr>
                <w:rFonts w:ascii="Arial" w:hAnsi="Arial" w:cs="Arial"/>
                <w:b/>
                <w:sz w:val="18"/>
                <w:szCs w:val="18"/>
              </w:rPr>
              <w:t>q5</w:t>
            </w:r>
          </w:p>
        </w:tc>
        <w:tc>
          <w:tcPr>
            <w:tcW w:w="546" w:type="dxa"/>
            <w:tcBorders>
              <w:top w:val="single" w:sz="6" w:space="0" w:color="CBCBCB"/>
              <w:left w:val="single" w:sz="12"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7632A406"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.542</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0FCB7DC2"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.325</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0CA42D75"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.390</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11709AE7"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.302</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27F348A4"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.348</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3B368250"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.301</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3531FC86"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.325</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59B162C4" w14:textId="77777777" w:rsidR="00B063E7" w:rsidRPr="00F25A0F" w:rsidRDefault="00B063E7" w:rsidP="00F25A0F">
            <w:pPr>
              <w:spacing w:line="240" w:lineRule="atLeast"/>
              <w:ind w:left="45"/>
              <w:jc w:val="right"/>
              <w:rPr>
                <w:rFonts w:ascii="Arial" w:hAnsi="Arial" w:cs="Arial"/>
                <w:sz w:val="18"/>
                <w:szCs w:val="18"/>
              </w:rPr>
            </w:pPr>
            <w:r>
              <w:rPr>
                <w:rFonts w:ascii="Arial" w:hAnsi="Arial" w:cs="Arial"/>
                <w:sz w:val="18"/>
                <w:szCs w:val="18"/>
              </w:rPr>
              <w:t>1.00</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0526DAFD" w14:textId="77777777" w:rsidR="00B063E7" w:rsidRPr="00F25A0F" w:rsidRDefault="00B063E7" w:rsidP="00F25A0F">
            <w:pPr>
              <w:spacing w:line="240" w:lineRule="atLeast"/>
              <w:ind w:left="45"/>
              <w:jc w:val="right"/>
              <w:rPr>
                <w:rFonts w:ascii="Arial" w:hAnsi="Arial" w:cs="Arial"/>
                <w:sz w:val="18"/>
                <w:szCs w:val="18"/>
              </w:rPr>
            </w:pP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3EABD0F6" w14:textId="77777777" w:rsidR="00B063E7" w:rsidRPr="00F25A0F" w:rsidRDefault="00B063E7" w:rsidP="00F25A0F">
            <w:pPr>
              <w:spacing w:line="240" w:lineRule="atLeast"/>
              <w:ind w:left="45"/>
              <w:jc w:val="right"/>
              <w:rPr>
                <w:rFonts w:ascii="Arial" w:hAnsi="Arial" w:cs="Arial"/>
                <w:sz w:val="18"/>
                <w:szCs w:val="18"/>
              </w:rPr>
            </w:pP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607C37EB" w14:textId="77777777" w:rsidR="00B063E7" w:rsidRPr="00F25A0F" w:rsidRDefault="00B063E7" w:rsidP="00F25A0F">
            <w:pPr>
              <w:spacing w:line="240" w:lineRule="atLeast"/>
              <w:ind w:left="45"/>
              <w:jc w:val="right"/>
              <w:rPr>
                <w:rFonts w:ascii="Arial" w:hAnsi="Arial" w:cs="Arial"/>
                <w:sz w:val="18"/>
                <w:szCs w:val="18"/>
              </w:rPr>
            </w:pP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187A2850" w14:textId="77777777" w:rsidR="00B063E7" w:rsidRPr="00F25A0F" w:rsidRDefault="00B063E7" w:rsidP="00F25A0F">
            <w:pPr>
              <w:spacing w:line="240" w:lineRule="atLeast"/>
              <w:ind w:left="45"/>
              <w:jc w:val="right"/>
              <w:rPr>
                <w:rFonts w:ascii="Arial" w:hAnsi="Arial" w:cs="Arial"/>
                <w:sz w:val="18"/>
                <w:szCs w:val="18"/>
              </w:rPr>
            </w:pPr>
          </w:p>
        </w:tc>
        <w:tc>
          <w:tcPr>
            <w:tcW w:w="488" w:type="dxa"/>
            <w:tcBorders>
              <w:top w:val="single" w:sz="6" w:space="0" w:color="CBCBCB"/>
              <w:left w:val="single" w:sz="6" w:space="0" w:color="000000"/>
              <w:bottom w:val="single" w:sz="6" w:space="0" w:color="CBCBCB"/>
              <w:right w:val="single" w:sz="12" w:space="0" w:color="000000"/>
            </w:tcBorders>
            <w:shd w:val="clear" w:color="auto" w:fill="FFFFFF"/>
            <w:tcMar>
              <w:top w:w="0" w:type="dxa"/>
              <w:left w:w="75" w:type="dxa"/>
              <w:bottom w:w="0" w:type="dxa"/>
              <w:right w:w="75" w:type="dxa"/>
            </w:tcMar>
            <w:vAlign w:val="center"/>
            <w:hideMark/>
          </w:tcPr>
          <w:p w14:paraId="216934CB" w14:textId="77777777" w:rsidR="00B063E7" w:rsidRPr="00F25A0F" w:rsidRDefault="00B063E7" w:rsidP="00F25A0F">
            <w:pPr>
              <w:spacing w:line="240" w:lineRule="atLeast"/>
              <w:ind w:left="45"/>
              <w:jc w:val="right"/>
              <w:rPr>
                <w:rFonts w:ascii="Arial" w:hAnsi="Arial" w:cs="Arial"/>
                <w:sz w:val="18"/>
                <w:szCs w:val="18"/>
              </w:rPr>
            </w:pPr>
          </w:p>
        </w:tc>
      </w:tr>
      <w:tr w:rsidR="00C71E0B" w:rsidRPr="00F25A0F" w14:paraId="730C6590" w14:textId="77777777" w:rsidTr="00C71E0B">
        <w:trPr>
          <w:jc w:val="center"/>
        </w:trPr>
        <w:tc>
          <w:tcPr>
            <w:tcW w:w="516" w:type="dxa"/>
            <w:tcBorders>
              <w:top w:val="single" w:sz="6" w:space="0" w:color="CBCBCB"/>
              <w:left w:val="single" w:sz="12" w:space="0" w:color="000000"/>
              <w:bottom w:val="single" w:sz="6" w:space="0" w:color="CBCBCB"/>
              <w:right w:val="single" w:sz="12" w:space="0" w:color="000000"/>
            </w:tcBorders>
            <w:shd w:val="clear" w:color="auto" w:fill="FFFFFF"/>
            <w:tcMar>
              <w:top w:w="0" w:type="dxa"/>
              <w:left w:w="75" w:type="dxa"/>
              <w:bottom w:w="0" w:type="dxa"/>
              <w:right w:w="75" w:type="dxa"/>
            </w:tcMar>
            <w:hideMark/>
          </w:tcPr>
          <w:p w14:paraId="176524B2" w14:textId="77777777" w:rsidR="00B063E7" w:rsidRPr="00B063E7" w:rsidRDefault="00B063E7" w:rsidP="00B063E7">
            <w:pPr>
              <w:spacing w:line="240" w:lineRule="atLeast"/>
              <w:ind w:left="45"/>
              <w:jc w:val="center"/>
              <w:rPr>
                <w:rFonts w:ascii="Arial" w:hAnsi="Arial" w:cs="Arial"/>
                <w:b/>
                <w:sz w:val="18"/>
                <w:szCs w:val="18"/>
              </w:rPr>
            </w:pPr>
            <w:r w:rsidRPr="00B063E7">
              <w:rPr>
                <w:rFonts w:ascii="Arial" w:hAnsi="Arial" w:cs="Arial"/>
                <w:b/>
                <w:sz w:val="18"/>
                <w:szCs w:val="18"/>
              </w:rPr>
              <w:t>q5b</w:t>
            </w:r>
          </w:p>
        </w:tc>
        <w:tc>
          <w:tcPr>
            <w:tcW w:w="546" w:type="dxa"/>
            <w:tcBorders>
              <w:top w:val="single" w:sz="6" w:space="0" w:color="CBCBCB"/>
              <w:left w:val="single" w:sz="12"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1E3D7C29"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.496</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37D0ECEA"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.289</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651D9370"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.417</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3AAE2600"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.334</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45F4A092"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.441</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54C0E152"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.273</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0690F04B"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.386</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015F1723"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.776</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38073B6F" w14:textId="77777777" w:rsidR="00B063E7" w:rsidRPr="00F25A0F" w:rsidRDefault="00B063E7" w:rsidP="00F25A0F">
            <w:pPr>
              <w:spacing w:line="240" w:lineRule="atLeast"/>
              <w:ind w:left="45"/>
              <w:jc w:val="right"/>
              <w:rPr>
                <w:rFonts w:ascii="Arial" w:hAnsi="Arial" w:cs="Arial"/>
                <w:sz w:val="18"/>
                <w:szCs w:val="18"/>
              </w:rPr>
            </w:pPr>
            <w:r>
              <w:rPr>
                <w:rFonts w:ascii="Arial" w:hAnsi="Arial" w:cs="Arial"/>
                <w:sz w:val="18"/>
                <w:szCs w:val="18"/>
              </w:rPr>
              <w:t>1.00</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087FE121" w14:textId="77777777" w:rsidR="00B063E7" w:rsidRPr="00F25A0F" w:rsidRDefault="00B063E7" w:rsidP="00F25A0F">
            <w:pPr>
              <w:spacing w:line="240" w:lineRule="atLeast"/>
              <w:ind w:left="45"/>
              <w:jc w:val="right"/>
              <w:rPr>
                <w:rFonts w:ascii="Arial" w:hAnsi="Arial" w:cs="Arial"/>
                <w:sz w:val="18"/>
                <w:szCs w:val="18"/>
              </w:rPr>
            </w:pP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2CEC58BA" w14:textId="77777777" w:rsidR="00B063E7" w:rsidRPr="00F25A0F" w:rsidRDefault="00B063E7" w:rsidP="00F25A0F">
            <w:pPr>
              <w:spacing w:line="240" w:lineRule="atLeast"/>
              <w:ind w:left="45"/>
              <w:jc w:val="right"/>
              <w:rPr>
                <w:rFonts w:ascii="Arial" w:hAnsi="Arial" w:cs="Arial"/>
                <w:sz w:val="18"/>
                <w:szCs w:val="18"/>
              </w:rPr>
            </w:pP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021491B8" w14:textId="77777777" w:rsidR="00B063E7" w:rsidRPr="00F25A0F" w:rsidRDefault="00B063E7" w:rsidP="00F25A0F">
            <w:pPr>
              <w:spacing w:line="240" w:lineRule="atLeast"/>
              <w:ind w:left="45"/>
              <w:jc w:val="right"/>
              <w:rPr>
                <w:rFonts w:ascii="Arial" w:hAnsi="Arial" w:cs="Arial"/>
                <w:sz w:val="18"/>
                <w:szCs w:val="18"/>
              </w:rPr>
            </w:pPr>
          </w:p>
        </w:tc>
        <w:tc>
          <w:tcPr>
            <w:tcW w:w="488" w:type="dxa"/>
            <w:tcBorders>
              <w:top w:val="single" w:sz="6" w:space="0" w:color="CBCBCB"/>
              <w:left w:val="single" w:sz="6" w:space="0" w:color="000000"/>
              <w:bottom w:val="single" w:sz="6" w:space="0" w:color="CBCBCB"/>
              <w:right w:val="single" w:sz="12" w:space="0" w:color="000000"/>
            </w:tcBorders>
            <w:shd w:val="clear" w:color="auto" w:fill="FFFFFF"/>
            <w:tcMar>
              <w:top w:w="0" w:type="dxa"/>
              <w:left w:w="75" w:type="dxa"/>
              <w:bottom w:w="0" w:type="dxa"/>
              <w:right w:w="75" w:type="dxa"/>
            </w:tcMar>
            <w:vAlign w:val="center"/>
            <w:hideMark/>
          </w:tcPr>
          <w:p w14:paraId="6A26F185" w14:textId="77777777" w:rsidR="00B063E7" w:rsidRPr="00F25A0F" w:rsidRDefault="00B063E7" w:rsidP="00F25A0F">
            <w:pPr>
              <w:spacing w:line="240" w:lineRule="atLeast"/>
              <w:ind w:left="45"/>
              <w:jc w:val="right"/>
              <w:rPr>
                <w:rFonts w:ascii="Arial" w:hAnsi="Arial" w:cs="Arial"/>
                <w:sz w:val="18"/>
                <w:szCs w:val="18"/>
              </w:rPr>
            </w:pPr>
          </w:p>
        </w:tc>
      </w:tr>
      <w:tr w:rsidR="00C71E0B" w:rsidRPr="00F25A0F" w14:paraId="40F76198" w14:textId="77777777" w:rsidTr="00C71E0B">
        <w:trPr>
          <w:jc w:val="center"/>
        </w:trPr>
        <w:tc>
          <w:tcPr>
            <w:tcW w:w="516" w:type="dxa"/>
            <w:tcBorders>
              <w:top w:val="single" w:sz="6" w:space="0" w:color="CBCBCB"/>
              <w:left w:val="single" w:sz="12" w:space="0" w:color="000000"/>
              <w:bottom w:val="single" w:sz="6" w:space="0" w:color="CBCBCB"/>
              <w:right w:val="single" w:sz="12" w:space="0" w:color="000000"/>
            </w:tcBorders>
            <w:shd w:val="clear" w:color="auto" w:fill="FFFFFF"/>
            <w:tcMar>
              <w:top w:w="0" w:type="dxa"/>
              <w:left w:w="75" w:type="dxa"/>
              <w:bottom w:w="0" w:type="dxa"/>
              <w:right w:w="75" w:type="dxa"/>
            </w:tcMar>
            <w:hideMark/>
          </w:tcPr>
          <w:p w14:paraId="3DA14BE2" w14:textId="77777777" w:rsidR="00B063E7" w:rsidRPr="00B063E7" w:rsidRDefault="00B063E7" w:rsidP="00B063E7">
            <w:pPr>
              <w:spacing w:line="240" w:lineRule="atLeast"/>
              <w:ind w:left="45"/>
              <w:jc w:val="center"/>
              <w:rPr>
                <w:rFonts w:ascii="Arial" w:hAnsi="Arial" w:cs="Arial"/>
                <w:b/>
                <w:sz w:val="18"/>
                <w:szCs w:val="18"/>
              </w:rPr>
            </w:pPr>
            <w:r w:rsidRPr="00B063E7">
              <w:rPr>
                <w:rFonts w:ascii="Arial" w:hAnsi="Arial" w:cs="Arial"/>
                <w:b/>
                <w:sz w:val="18"/>
                <w:szCs w:val="18"/>
              </w:rPr>
              <w:t>q6</w:t>
            </w:r>
          </w:p>
        </w:tc>
        <w:tc>
          <w:tcPr>
            <w:tcW w:w="546" w:type="dxa"/>
            <w:tcBorders>
              <w:top w:val="single" w:sz="6" w:space="0" w:color="CBCBCB"/>
              <w:left w:val="single" w:sz="12"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6FE8FFA1"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.400</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58A3BE38"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.316</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1CC55891"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.366</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59E36D91"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.286</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04EF4B0A"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.409</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6B1E7FAB"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.306</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0C14B670"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.382</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11A7AF25"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.344</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68F6EAB7"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.314</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63976B3C" w14:textId="77777777" w:rsidR="00B063E7" w:rsidRPr="00F25A0F" w:rsidRDefault="00B063E7" w:rsidP="00F25A0F">
            <w:pPr>
              <w:spacing w:line="240" w:lineRule="atLeast"/>
              <w:ind w:left="45"/>
              <w:jc w:val="right"/>
              <w:rPr>
                <w:rFonts w:ascii="Arial" w:hAnsi="Arial" w:cs="Arial"/>
                <w:sz w:val="18"/>
                <w:szCs w:val="18"/>
              </w:rPr>
            </w:pPr>
            <w:r>
              <w:rPr>
                <w:rFonts w:ascii="Arial" w:hAnsi="Arial" w:cs="Arial"/>
                <w:sz w:val="18"/>
                <w:szCs w:val="18"/>
              </w:rPr>
              <w:t>1.00</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42F9C732" w14:textId="77777777" w:rsidR="00B063E7" w:rsidRPr="00F25A0F" w:rsidRDefault="00B063E7" w:rsidP="00F25A0F">
            <w:pPr>
              <w:spacing w:line="240" w:lineRule="atLeast"/>
              <w:ind w:left="45"/>
              <w:jc w:val="right"/>
              <w:rPr>
                <w:rFonts w:ascii="Arial" w:hAnsi="Arial" w:cs="Arial"/>
                <w:sz w:val="18"/>
                <w:szCs w:val="18"/>
              </w:rPr>
            </w:pP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035BA04F" w14:textId="77777777" w:rsidR="00B063E7" w:rsidRPr="00F25A0F" w:rsidRDefault="00B063E7" w:rsidP="00F25A0F">
            <w:pPr>
              <w:spacing w:line="240" w:lineRule="atLeast"/>
              <w:ind w:left="45"/>
              <w:jc w:val="right"/>
              <w:rPr>
                <w:rFonts w:ascii="Arial" w:hAnsi="Arial" w:cs="Arial"/>
                <w:sz w:val="18"/>
                <w:szCs w:val="18"/>
              </w:rPr>
            </w:pPr>
          </w:p>
        </w:tc>
        <w:tc>
          <w:tcPr>
            <w:tcW w:w="488" w:type="dxa"/>
            <w:tcBorders>
              <w:top w:val="single" w:sz="6" w:space="0" w:color="CBCBCB"/>
              <w:left w:val="single" w:sz="6" w:space="0" w:color="000000"/>
              <w:bottom w:val="single" w:sz="6" w:space="0" w:color="CBCBCB"/>
              <w:right w:val="single" w:sz="12" w:space="0" w:color="000000"/>
            </w:tcBorders>
            <w:shd w:val="clear" w:color="auto" w:fill="FFFFFF"/>
            <w:tcMar>
              <w:top w:w="0" w:type="dxa"/>
              <w:left w:w="75" w:type="dxa"/>
              <w:bottom w:w="0" w:type="dxa"/>
              <w:right w:w="75" w:type="dxa"/>
            </w:tcMar>
            <w:vAlign w:val="center"/>
            <w:hideMark/>
          </w:tcPr>
          <w:p w14:paraId="6D21B3B0" w14:textId="77777777" w:rsidR="00B063E7" w:rsidRPr="00F25A0F" w:rsidRDefault="00B063E7" w:rsidP="00F25A0F">
            <w:pPr>
              <w:spacing w:line="240" w:lineRule="atLeast"/>
              <w:ind w:left="45"/>
              <w:jc w:val="right"/>
              <w:rPr>
                <w:rFonts w:ascii="Arial" w:hAnsi="Arial" w:cs="Arial"/>
                <w:sz w:val="18"/>
                <w:szCs w:val="18"/>
              </w:rPr>
            </w:pPr>
          </w:p>
        </w:tc>
      </w:tr>
      <w:tr w:rsidR="00C71E0B" w:rsidRPr="00F25A0F" w14:paraId="6B86CFA0" w14:textId="77777777" w:rsidTr="00C71E0B">
        <w:trPr>
          <w:jc w:val="center"/>
        </w:trPr>
        <w:tc>
          <w:tcPr>
            <w:tcW w:w="516" w:type="dxa"/>
            <w:tcBorders>
              <w:top w:val="single" w:sz="6" w:space="0" w:color="CBCBCB"/>
              <w:left w:val="single" w:sz="12" w:space="0" w:color="000000"/>
              <w:bottom w:val="single" w:sz="6" w:space="0" w:color="CBCBCB"/>
              <w:right w:val="single" w:sz="12" w:space="0" w:color="000000"/>
            </w:tcBorders>
            <w:shd w:val="clear" w:color="auto" w:fill="FFFFFF"/>
            <w:tcMar>
              <w:top w:w="0" w:type="dxa"/>
              <w:left w:w="75" w:type="dxa"/>
              <w:bottom w:w="0" w:type="dxa"/>
              <w:right w:w="75" w:type="dxa"/>
            </w:tcMar>
            <w:hideMark/>
          </w:tcPr>
          <w:p w14:paraId="6D67EB64" w14:textId="77777777" w:rsidR="00B063E7" w:rsidRPr="00B063E7" w:rsidRDefault="00B063E7" w:rsidP="00B063E7">
            <w:pPr>
              <w:spacing w:line="240" w:lineRule="atLeast"/>
              <w:ind w:left="45"/>
              <w:jc w:val="center"/>
              <w:rPr>
                <w:rFonts w:ascii="Arial" w:hAnsi="Arial" w:cs="Arial"/>
                <w:b/>
                <w:sz w:val="18"/>
                <w:szCs w:val="18"/>
              </w:rPr>
            </w:pPr>
            <w:r w:rsidRPr="00B063E7">
              <w:rPr>
                <w:rFonts w:ascii="Arial" w:hAnsi="Arial" w:cs="Arial"/>
                <w:b/>
                <w:sz w:val="18"/>
                <w:szCs w:val="18"/>
              </w:rPr>
              <w:t>q7</w:t>
            </w:r>
          </w:p>
        </w:tc>
        <w:tc>
          <w:tcPr>
            <w:tcW w:w="546" w:type="dxa"/>
            <w:tcBorders>
              <w:top w:val="single" w:sz="6" w:space="0" w:color="CBCBCB"/>
              <w:left w:val="single" w:sz="12"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46BE601A"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.363</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10799A31"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.314</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241D0DFD"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.327</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09AE61A1"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.205</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01E4123E"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.266</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259C8335"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.231</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006241F5"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.224</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5488F2E0"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.419</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24DA4EEC"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.388</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661289E6"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.335</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70413869" w14:textId="77777777" w:rsidR="00B063E7" w:rsidRPr="00F25A0F" w:rsidRDefault="00B063E7" w:rsidP="00F25A0F">
            <w:pPr>
              <w:spacing w:line="240" w:lineRule="atLeast"/>
              <w:ind w:left="45"/>
              <w:jc w:val="right"/>
              <w:rPr>
                <w:rFonts w:ascii="Arial" w:hAnsi="Arial" w:cs="Arial"/>
                <w:sz w:val="18"/>
                <w:szCs w:val="18"/>
              </w:rPr>
            </w:pPr>
            <w:r>
              <w:rPr>
                <w:rFonts w:ascii="Arial" w:hAnsi="Arial" w:cs="Arial"/>
                <w:sz w:val="18"/>
                <w:szCs w:val="18"/>
              </w:rPr>
              <w:t>1.00</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111DF7A7" w14:textId="77777777" w:rsidR="00B063E7" w:rsidRPr="00F25A0F" w:rsidRDefault="00B063E7" w:rsidP="00F25A0F">
            <w:pPr>
              <w:spacing w:line="240" w:lineRule="atLeast"/>
              <w:ind w:left="45"/>
              <w:jc w:val="right"/>
              <w:rPr>
                <w:rFonts w:ascii="Arial" w:hAnsi="Arial" w:cs="Arial"/>
                <w:sz w:val="18"/>
                <w:szCs w:val="18"/>
              </w:rPr>
            </w:pPr>
          </w:p>
        </w:tc>
        <w:tc>
          <w:tcPr>
            <w:tcW w:w="488" w:type="dxa"/>
            <w:tcBorders>
              <w:top w:val="single" w:sz="6" w:space="0" w:color="CBCBCB"/>
              <w:left w:val="single" w:sz="6" w:space="0" w:color="000000"/>
              <w:bottom w:val="single" w:sz="6" w:space="0" w:color="CBCBCB"/>
              <w:right w:val="single" w:sz="12" w:space="0" w:color="000000"/>
            </w:tcBorders>
            <w:shd w:val="clear" w:color="auto" w:fill="FFFFFF"/>
            <w:tcMar>
              <w:top w:w="0" w:type="dxa"/>
              <w:left w:w="75" w:type="dxa"/>
              <w:bottom w:w="0" w:type="dxa"/>
              <w:right w:w="75" w:type="dxa"/>
            </w:tcMar>
            <w:vAlign w:val="center"/>
            <w:hideMark/>
          </w:tcPr>
          <w:p w14:paraId="45B27D89" w14:textId="77777777" w:rsidR="00B063E7" w:rsidRPr="00F25A0F" w:rsidRDefault="00B063E7" w:rsidP="00F25A0F">
            <w:pPr>
              <w:spacing w:line="240" w:lineRule="atLeast"/>
              <w:ind w:left="45"/>
              <w:jc w:val="right"/>
              <w:rPr>
                <w:rFonts w:ascii="Arial" w:hAnsi="Arial" w:cs="Arial"/>
                <w:sz w:val="18"/>
                <w:szCs w:val="18"/>
              </w:rPr>
            </w:pPr>
          </w:p>
        </w:tc>
      </w:tr>
      <w:tr w:rsidR="00C71E0B" w:rsidRPr="00F25A0F" w14:paraId="4C36F9AA" w14:textId="77777777" w:rsidTr="00C71E0B">
        <w:trPr>
          <w:jc w:val="center"/>
        </w:trPr>
        <w:tc>
          <w:tcPr>
            <w:tcW w:w="516" w:type="dxa"/>
            <w:tcBorders>
              <w:top w:val="single" w:sz="6" w:space="0" w:color="CBCBCB"/>
              <w:left w:val="single" w:sz="12" w:space="0" w:color="000000"/>
              <w:bottom w:val="single" w:sz="6" w:space="0" w:color="CBCBCB"/>
              <w:right w:val="single" w:sz="12" w:space="0" w:color="000000"/>
            </w:tcBorders>
            <w:shd w:val="clear" w:color="auto" w:fill="FFFFFF"/>
            <w:tcMar>
              <w:top w:w="0" w:type="dxa"/>
              <w:left w:w="75" w:type="dxa"/>
              <w:bottom w:w="0" w:type="dxa"/>
              <w:right w:w="75" w:type="dxa"/>
            </w:tcMar>
            <w:hideMark/>
          </w:tcPr>
          <w:p w14:paraId="2DD82BAE" w14:textId="77777777" w:rsidR="00B063E7" w:rsidRPr="00B063E7" w:rsidRDefault="00B063E7" w:rsidP="00B063E7">
            <w:pPr>
              <w:spacing w:line="240" w:lineRule="atLeast"/>
              <w:ind w:left="45"/>
              <w:jc w:val="center"/>
              <w:rPr>
                <w:rFonts w:ascii="Arial" w:hAnsi="Arial" w:cs="Arial"/>
                <w:b/>
                <w:sz w:val="18"/>
                <w:szCs w:val="18"/>
              </w:rPr>
            </w:pPr>
            <w:r w:rsidRPr="00B063E7">
              <w:rPr>
                <w:rFonts w:ascii="Arial" w:hAnsi="Arial" w:cs="Arial"/>
                <w:b/>
                <w:sz w:val="18"/>
                <w:szCs w:val="18"/>
              </w:rPr>
              <w:t>q8</w:t>
            </w:r>
          </w:p>
        </w:tc>
        <w:tc>
          <w:tcPr>
            <w:tcW w:w="546" w:type="dxa"/>
            <w:tcBorders>
              <w:top w:val="single" w:sz="6" w:space="0" w:color="CBCBCB"/>
              <w:left w:val="single" w:sz="12"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5910841B"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.298</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69A8EE1A"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.244</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10C343AC"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.312</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2E07EA5D"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.246</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00B6B334"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.273</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7C0574F4"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.241</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7864B524"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.267</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4A861F3D"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.403</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16693610"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.296</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5D4BC18D"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.293</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3E4D31D6"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.295</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327DC2FF" w14:textId="77777777" w:rsidR="00B063E7" w:rsidRPr="00F25A0F" w:rsidRDefault="00B063E7" w:rsidP="00F25A0F">
            <w:pPr>
              <w:spacing w:line="240" w:lineRule="atLeast"/>
              <w:ind w:left="45"/>
              <w:jc w:val="right"/>
              <w:rPr>
                <w:rFonts w:ascii="Arial" w:hAnsi="Arial" w:cs="Arial"/>
                <w:sz w:val="18"/>
                <w:szCs w:val="18"/>
              </w:rPr>
            </w:pPr>
            <w:r>
              <w:rPr>
                <w:rFonts w:ascii="Arial" w:hAnsi="Arial" w:cs="Arial"/>
                <w:sz w:val="18"/>
                <w:szCs w:val="18"/>
              </w:rPr>
              <w:t>1.00</w:t>
            </w:r>
          </w:p>
        </w:tc>
        <w:tc>
          <w:tcPr>
            <w:tcW w:w="488" w:type="dxa"/>
            <w:tcBorders>
              <w:top w:val="single" w:sz="6" w:space="0" w:color="CBCBCB"/>
              <w:left w:val="single" w:sz="6" w:space="0" w:color="000000"/>
              <w:bottom w:val="single" w:sz="6" w:space="0" w:color="CBCBCB"/>
              <w:right w:val="single" w:sz="12" w:space="0" w:color="000000"/>
            </w:tcBorders>
            <w:shd w:val="clear" w:color="auto" w:fill="FFFFFF"/>
            <w:tcMar>
              <w:top w:w="0" w:type="dxa"/>
              <w:left w:w="75" w:type="dxa"/>
              <w:bottom w:w="0" w:type="dxa"/>
              <w:right w:w="75" w:type="dxa"/>
            </w:tcMar>
            <w:vAlign w:val="center"/>
            <w:hideMark/>
          </w:tcPr>
          <w:p w14:paraId="1DAE8BD4" w14:textId="77777777" w:rsidR="00B063E7" w:rsidRPr="00F25A0F" w:rsidRDefault="00B063E7" w:rsidP="00F25A0F">
            <w:pPr>
              <w:spacing w:line="240" w:lineRule="atLeast"/>
              <w:ind w:left="45"/>
              <w:jc w:val="right"/>
              <w:rPr>
                <w:rFonts w:ascii="Arial" w:hAnsi="Arial" w:cs="Arial"/>
                <w:sz w:val="18"/>
                <w:szCs w:val="18"/>
              </w:rPr>
            </w:pPr>
          </w:p>
        </w:tc>
      </w:tr>
      <w:tr w:rsidR="00C71E0B" w:rsidRPr="00F25A0F" w14:paraId="4C5824D4" w14:textId="77777777" w:rsidTr="00C71E0B">
        <w:trPr>
          <w:jc w:val="center"/>
        </w:trPr>
        <w:tc>
          <w:tcPr>
            <w:tcW w:w="516" w:type="dxa"/>
            <w:tcBorders>
              <w:top w:val="single" w:sz="6" w:space="0" w:color="CBCBCB"/>
              <w:left w:val="single" w:sz="12" w:space="0" w:color="000000"/>
              <w:bottom w:val="single" w:sz="12" w:space="0" w:color="000000"/>
              <w:right w:val="single" w:sz="12" w:space="0" w:color="000000"/>
            </w:tcBorders>
            <w:shd w:val="clear" w:color="auto" w:fill="FFFFFF"/>
            <w:tcMar>
              <w:top w:w="0" w:type="dxa"/>
              <w:left w:w="75" w:type="dxa"/>
              <w:bottom w:w="0" w:type="dxa"/>
              <w:right w:w="75" w:type="dxa"/>
            </w:tcMar>
            <w:hideMark/>
          </w:tcPr>
          <w:p w14:paraId="7414CAB1" w14:textId="77777777" w:rsidR="00B063E7" w:rsidRPr="00B063E7" w:rsidRDefault="00B063E7" w:rsidP="00B063E7">
            <w:pPr>
              <w:spacing w:line="240" w:lineRule="atLeast"/>
              <w:ind w:left="45"/>
              <w:jc w:val="center"/>
              <w:rPr>
                <w:rFonts w:ascii="Arial" w:hAnsi="Arial" w:cs="Arial"/>
                <w:b/>
                <w:sz w:val="18"/>
                <w:szCs w:val="18"/>
              </w:rPr>
            </w:pPr>
            <w:r w:rsidRPr="00B063E7">
              <w:rPr>
                <w:rFonts w:ascii="Arial" w:hAnsi="Arial" w:cs="Arial"/>
                <w:b/>
                <w:sz w:val="18"/>
                <w:szCs w:val="18"/>
              </w:rPr>
              <w:t>q9</w:t>
            </w:r>
          </w:p>
        </w:tc>
        <w:tc>
          <w:tcPr>
            <w:tcW w:w="546" w:type="dxa"/>
            <w:tcBorders>
              <w:top w:val="single" w:sz="6" w:space="0" w:color="CBCBCB"/>
              <w:left w:val="single" w:sz="12" w:space="0" w:color="000000"/>
              <w:bottom w:val="single" w:sz="12" w:space="0" w:color="000000"/>
              <w:right w:val="single" w:sz="6" w:space="0" w:color="000000"/>
            </w:tcBorders>
            <w:shd w:val="clear" w:color="auto" w:fill="FFFFFF"/>
            <w:tcMar>
              <w:top w:w="0" w:type="dxa"/>
              <w:left w:w="75" w:type="dxa"/>
              <w:bottom w:w="0" w:type="dxa"/>
              <w:right w:w="75" w:type="dxa"/>
            </w:tcMar>
            <w:vAlign w:val="center"/>
            <w:hideMark/>
          </w:tcPr>
          <w:p w14:paraId="5CB0E3A2"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.160</w:t>
            </w:r>
          </w:p>
        </w:tc>
        <w:tc>
          <w:tcPr>
            <w:tcW w:w="546" w:type="dxa"/>
            <w:tcBorders>
              <w:top w:val="single" w:sz="6" w:space="0" w:color="CBCBCB"/>
              <w:left w:val="single" w:sz="6" w:space="0" w:color="000000"/>
              <w:bottom w:val="single" w:sz="12" w:space="0" w:color="000000"/>
              <w:right w:val="single" w:sz="6" w:space="0" w:color="000000"/>
            </w:tcBorders>
            <w:shd w:val="clear" w:color="auto" w:fill="FFFFFF"/>
            <w:tcMar>
              <w:top w:w="0" w:type="dxa"/>
              <w:left w:w="75" w:type="dxa"/>
              <w:bottom w:w="0" w:type="dxa"/>
              <w:right w:w="75" w:type="dxa"/>
            </w:tcMar>
            <w:vAlign w:val="center"/>
            <w:hideMark/>
          </w:tcPr>
          <w:p w14:paraId="09199718"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.131</w:t>
            </w:r>
          </w:p>
        </w:tc>
        <w:tc>
          <w:tcPr>
            <w:tcW w:w="546" w:type="dxa"/>
            <w:tcBorders>
              <w:top w:val="single" w:sz="6" w:space="0" w:color="CBCBCB"/>
              <w:left w:val="single" w:sz="6" w:space="0" w:color="000000"/>
              <w:bottom w:val="single" w:sz="12" w:space="0" w:color="000000"/>
              <w:right w:val="single" w:sz="6" w:space="0" w:color="000000"/>
            </w:tcBorders>
            <w:shd w:val="clear" w:color="auto" w:fill="FFFFFF"/>
            <w:tcMar>
              <w:top w:w="0" w:type="dxa"/>
              <w:left w:w="75" w:type="dxa"/>
              <w:bottom w:w="0" w:type="dxa"/>
              <w:right w:w="75" w:type="dxa"/>
            </w:tcMar>
            <w:vAlign w:val="center"/>
            <w:hideMark/>
          </w:tcPr>
          <w:p w14:paraId="35C63402"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.089</w:t>
            </w:r>
          </w:p>
        </w:tc>
        <w:tc>
          <w:tcPr>
            <w:tcW w:w="546" w:type="dxa"/>
            <w:tcBorders>
              <w:top w:val="single" w:sz="6" w:space="0" w:color="CBCBCB"/>
              <w:left w:val="single" w:sz="6" w:space="0" w:color="000000"/>
              <w:bottom w:val="single" w:sz="12" w:space="0" w:color="000000"/>
              <w:right w:val="single" w:sz="6" w:space="0" w:color="000000"/>
            </w:tcBorders>
            <w:shd w:val="clear" w:color="auto" w:fill="FFFFFF"/>
            <w:tcMar>
              <w:top w:w="0" w:type="dxa"/>
              <w:left w:w="75" w:type="dxa"/>
              <w:bottom w:w="0" w:type="dxa"/>
              <w:right w:w="75" w:type="dxa"/>
            </w:tcMar>
            <w:vAlign w:val="center"/>
            <w:hideMark/>
          </w:tcPr>
          <w:p w14:paraId="0FC604B9"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.148</w:t>
            </w:r>
          </w:p>
        </w:tc>
        <w:tc>
          <w:tcPr>
            <w:tcW w:w="546" w:type="dxa"/>
            <w:tcBorders>
              <w:top w:val="single" w:sz="6" w:space="0" w:color="CBCBCB"/>
              <w:left w:val="single" w:sz="6" w:space="0" w:color="000000"/>
              <w:bottom w:val="single" w:sz="12" w:space="0" w:color="000000"/>
              <w:right w:val="single" w:sz="6" w:space="0" w:color="000000"/>
            </w:tcBorders>
            <w:shd w:val="clear" w:color="auto" w:fill="FFFFFF"/>
            <w:tcMar>
              <w:top w:w="0" w:type="dxa"/>
              <w:left w:w="75" w:type="dxa"/>
              <w:bottom w:w="0" w:type="dxa"/>
              <w:right w:w="75" w:type="dxa"/>
            </w:tcMar>
            <w:vAlign w:val="center"/>
            <w:hideMark/>
          </w:tcPr>
          <w:p w14:paraId="3AAFF870"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.145</w:t>
            </w:r>
          </w:p>
        </w:tc>
        <w:tc>
          <w:tcPr>
            <w:tcW w:w="546" w:type="dxa"/>
            <w:tcBorders>
              <w:top w:val="single" w:sz="6" w:space="0" w:color="CBCBCB"/>
              <w:left w:val="single" w:sz="6" w:space="0" w:color="000000"/>
              <w:bottom w:val="single" w:sz="12" w:space="0" w:color="000000"/>
              <w:right w:val="single" w:sz="6" w:space="0" w:color="000000"/>
            </w:tcBorders>
            <w:shd w:val="clear" w:color="auto" w:fill="FFFFFF"/>
            <w:tcMar>
              <w:top w:w="0" w:type="dxa"/>
              <w:left w:w="75" w:type="dxa"/>
              <w:bottom w:w="0" w:type="dxa"/>
              <w:right w:w="75" w:type="dxa"/>
            </w:tcMar>
            <w:vAlign w:val="center"/>
            <w:hideMark/>
          </w:tcPr>
          <w:p w14:paraId="0BDAA241"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.129</w:t>
            </w:r>
          </w:p>
        </w:tc>
        <w:tc>
          <w:tcPr>
            <w:tcW w:w="546" w:type="dxa"/>
            <w:tcBorders>
              <w:top w:val="single" w:sz="6" w:space="0" w:color="CBCBCB"/>
              <w:left w:val="single" w:sz="6" w:space="0" w:color="000000"/>
              <w:bottom w:val="single" w:sz="12" w:space="0" w:color="000000"/>
              <w:right w:val="single" w:sz="6" w:space="0" w:color="000000"/>
            </w:tcBorders>
            <w:shd w:val="clear" w:color="auto" w:fill="FFFFFF"/>
            <w:tcMar>
              <w:top w:w="0" w:type="dxa"/>
              <w:left w:w="75" w:type="dxa"/>
              <w:bottom w:w="0" w:type="dxa"/>
              <w:right w:w="75" w:type="dxa"/>
            </w:tcMar>
            <w:vAlign w:val="center"/>
            <w:hideMark/>
          </w:tcPr>
          <w:p w14:paraId="5D8F489D"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.155</w:t>
            </w:r>
          </w:p>
        </w:tc>
        <w:tc>
          <w:tcPr>
            <w:tcW w:w="546" w:type="dxa"/>
            <w:tcBorders>
              <w:top w:val="single" w:sz="6" w:space="0" w:color="CBCBCB"/>
              <w:left w:val="single" w:sz="6" w:space="0" w:color="000000"/>
              <w:bottom w:val="single" w:sz="12" w:space="0" w:color="000000"/>
              <w:right w:val="single" w:sz="6" w:space="0" w:color="000000"/>
            </w:tcBorders>
            <w:shd w:val="clear" w:color="auto" w:fill="FFFFFF"/>
            <w:tcMar>
              <w:top w:w="0" w:type="dxa"/>
              <w:left w:w="75" w:type="dxa"/>
              <w:bottom w:w="0" w:type="dxa"/>
              <w:right w:w="75" w:type="dxa"/>
            </w:tcMar>
            <w:vAlign w:val="center"/>
            <w:hideMark/>
          </w:tcPr>
          <w:p w14:paraId="5CE1A74B"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.135</w:t>
            </w:r>
          </w:p>
        </w:tc>
        <w:tc>
          <w:tcPr>
            <w:tcW w:w="546" w:type="dxa"/>
            <w:tcBorders>
              <w:top w:val="single" w:sz="6" w:space="0" w:color="CBCBCB"/>
              <w:left w:val="single" w:sz="6" w:space="0" w:color="000000"/>
              <w:bottom w:val="single" w:sz="12" w:space="0" w:color="000000"/>
              <w:right w:val="single" w:sz="6" w:space="0" w:color="000000"/>
            </w:tcBorders>
            <w:shd w:val="clear" w:color="auto" w:fill="FFFFFF"/>
            <w:tcMar>
              <w:top w:w="0" w:type="dxa"/>
              <w:left w:w="75" w:type="dxa"/>
              <w:bottom w:w="0" w:type="dxa"/>
              <w:right w:w="75" w:type="dxa"/>
            </w:tcMar>
            <w:vAlign w:val="center"/>
            <w:hideMark/>
          </w:tcPr>
          <w:p w14:paraId="57DBD68A"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.177</w:t>
            </w:r>
          </w:p>
        </w:tc>
        <w:tc>
          <w:tcPr>
            <w:tcW w:w="546" w:type="dxa"/>
            <w:tcBorders>
              <w:top w:val="single" w:sz="6" w:space="0" w:color="CBCBCB"/>
              <w:left w:val="single" w:sz="6" w:space="0" w:color="000000"/>
              <w:bottom w:val="single" w:sz="12" w:space="0" w:color="000000"/>
              <w:right w:val="single" w:sz="6" w:space="0" w:color="000000"/>
            </w:tcBorders>
            <w:shd w:val="clear" w:color="auto" w:fill="FFFFFF"/>
            <w:tcMar>
              <w:top w:w="0" w:type="dxa"/>
              <w:left w:w="75" w:type="dxa"/>
              <w:bottom w:w="0" w:type="dxa"/>
              <w:right w:w="75" w:type="dxa"/>
            </w:tcMar>
            <w:vAlign w:val="center"/>
            <w:hideMark/>
          </w:tcPr>
          <w:p w14:paraId="27C2545C"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.132</w:t>
            </w:r>
          </w:p>
        </w:tc>
        <w:tc>
          <w:tcPr>
            <w:tcW w:w="546" w:type="dxa"/>
            <w:tcBorders>
              <w:top w:val="single" w:sz="6" w:space="0" w:color="CBCBCB"/>
              <w:left w:val="single" w:sz="6" w:space="0" w:color="000000"/>
              <w:bottom w:val="single" w:sz="12" w:space="0" w:color="000000"/>
              <w:right w:val="single" w:sz="6" w:space="0" w:color="000000"/>
            </w:tcBorders>
            <w:shd w:val="clear" w:color="auto" w:fill="FFFFFF"/>
            <w:tcMar>
              <w:top w:w="0" w:type="dxa"/>
              <w:left w:w="75" w:type="dxa"/>
              <w:bottom w:w="0" w:type="dxa"/>
              <w:right w:w="75" w:type="dxa"/>
            </w:tcMar>
            <w:vAlign w:val="center"/>
            <w:hideMark/>
          </w:tcPr>
          <w:p w14:paraId="652B1A4C"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.158</w:t>
            </w:r>
          </w:p>
        </w:tc>
        <w:tc>
          <w:tcPr>
            <w:tcW w:w="546" w:type="dxa"/>
            <w:tcBorders>
              <w:top w:val="single" w:sz="6" w:space="0" w:color="CBCBCB"/>
              <w:left w:val="single" w:sz="6" w:space="0" w:color="000000"/>
              <w:bottom w:val="single" w:sz="12" w:space="0" w:color="000000"/>
              <w:right w:val="single" w:sz="6" w:space="0" w:color="000000"/>
            </w:tcBorders>
            <w:shd w:val="clear" w:color="auto" w:fill="FFFFFF"/>
            <w:tcMar>
              <w:top w:w="0" w:type="dxa"/>
              <w:left w:w="75" w:type="dxa"/>
              <w:bottom w:w="0" w:type="dxa"/>
              <w:right w:w="75" w:type="dxa"/>
            </w:tcMar>
            <w:vAlign w:val="center"/>
            <w:hideMark/>
          </w:tcPr>
          <w:p w14:paraId="419CBD63"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.185</w:t>
            </w:r>
          </w:p>
        </w:tc>
        <w:tc>
          <w:tcPr>
            <w:tcW w:w="488" w:type="dxa"/>
            <w:tcBorders>
              <w:top w:val="single" w:sz="6" w:space="0" w:color="CBCBCB"/>
              <w:left w:val="single" w:sz="6" w:space="0" w:color="000000"/>
              <w:bottom w:val="single" w:sz="12" w:space="0" w:color="000000"/>
              <w:right w:val="single" w:sz="12" w:space="0" w:color="000000"/>
            </w:tcBorders>
            <w:shd w:val="clear" w:color="auto" w:fill="FFFFFF"/>
            <w:tcMar>
              <w:top w:w="0" w:type="dxa"/>
              <w:left w:w="75" w:type="dxa"/>
              <w:bottom w:w="0" w:type="dxa"/>
              <w:right w:w="75" w:type="dxa"/>
            </w:tcMar>
            <w:vAlign w:val="center"/>
            <w:hideMark/>
          </w:tcPr>
          <w:p w14:paraId="351A4865" w14:textId="77777777" w:rsidR="00B063E7" w:rsidRPr="00F25A0F" w:rsidRDefault="00B063E7" w:rsidP="00F25A0F">
            <w:pPr>
              <w:spacing w:line="240" w:lineRule="atLeast"/>
              <w:ind w:left="45"/>
              <w:jc w:val="right"/>
              <w:rPr>
                <w:rFonts w:ascii="Arial" w:hAnsi="Arial" w:cs="Arial"/>
                <w:sz w:val="18"/>
                <w:szCs w:val="18"/>
              </w:rPr>
            </w:pPr>
            <w:r>
              <w:rPr>
                <w:rFonts w:ascii="Arial" w:hAnsi="Arial" w:cs="Arial"/>
                <w:sz w:val="18"/>
                <w:szCs w:val="18"/>
              </w:rPr>
              <w:t>1.00</w:t>
            </w:r>
          </w:p>
        </w:tc>
      </w:tr>
    </w:tbl>
    <w:p w14:paraId="6C89C68F" w14:textId="77777777" w:rsidR="000F563F" w:rsidRPr="0073336A" w:rsidRDefault="000F563F">
      <w:pPr>
        <w:spacing w:after="120" w:line="360" w:lineRule="auto"/>
        <w:jc w:val="both"/>
        <w:rPr>
          <w:sz w:val="12"/>
          <w:szCs w:val="12"/>
        </w:rPr>
      </w:pPr>
    </w:p>
    <w:p w14:paraId="7C934B37" w14:textId="77777777" w:rsidR="00403EE9" w:rsidRDefault="00403EE9" w:rsidP="00C71E0B">
      <w:pPr>
        <w:spacing w:before="120" w:after="120" w:line="360" w:lineRule="auto"/>
        <w:jc w:val="both"/>
        <w:rPr>
          <w:b/>
          <w:lang w:val="el-GR"/>
        </w:rPr>
      </w:pPr>
    </w:p>
    <w:p w14:paraId="39B97325" w14:textId="77777777" w:rsidR="00403EE9" w:rsidRDefault="00403EE9" w:rsidP="00C71E0B">
      <w:pPr>
        <w:spacing w:before="120" w:after="120" w:line="360" w:lineRule="auto"/>
        <w:jc w:val="both"/>
        <w:rPr>
          <w:b/>
          <w:lang w:val="el-GR"/>
        </w:rPr>
      </w:pPr>
    </w:p>
    <w:p w14:paraId="1A831727" w14:textId="77777777" w:rsidR="00403EE9" w:rsidRDefault="00403EE9" w:rsidP="00C71E0B">
      <w:pPr>
        <w:spacing w:before="120" w:after="120" w:line="360" w:lineRule="auto"/>
        <w:jc w:val="both"/>
        <w:rPr>
          <w:b/>
          <w:lang w:val="el-GR"/>
        </w:rPr>
      </w:pPr>
    </w:p>
    <w:p w14:paraId="321BFC4D" w14:textId="77777777" w:rsidR="00403EE9" w:rsidRDefault="00403EE9" w:rsidP="00C71E0B">
      <w:pPr>
        <w:spacing w:before="120" w:after="120" w:line="360" w:lineRule="auto"/>
        <w:jc w:val="both"/>
        <w:rPr>
          <w:b/>
          <w:lang w:val="el-GR"/>
        </w:rPr>
      </w:pPr>
    </w:p>
    <w:p w14:paraId="76AAD43C" w14:textId="77777777" w:rsidR="00403EE9" w:rsidRDefault="00403EE9" w:rsidP="00C71E0B">
      <w:pPr>
        <w:spacing w:before="120" w:after="120" w:line="360" w:lineRule="auto"/>
        <w:jc w:val="both"/>
        <w:rPr>
          <w:b/>
          <w:lang w:val="el-GR"/>
        </w:rPr>
      </w:pPr>
    </w:p>
    <w:p w14:paraId="129CFFD4" w14:textId="77777777" w:rsidR="00403EE9" w:rsidRDefault="00403EE9" w:rsidP="00C71E0B">
      <w:pPr>
        <w:spacing w:before="120" w:after="120" w:line="360" w:lineRule="auto"/>
        <w:jc w:val="both"/>
        <w:rPr>
          <w:b/>
          <w:lang w:val="el-GR"/>
        </w:rPr>
      </w:pPr>
    </w:p>
    <w:p w14:paraId="2C0F2F93" w14:textId="77777777" w:rsidR="00F25A0F" w:rsidRPr="00B063E7" w:rsidRDefault="0073336A" w:rsidP="00C71E0B">
      <w:pPr>
        <w:spacing w:before="120" w:after="120" w:line="360" w:lineRule="auto"/>
        <w:jc w:val="both"/>
        <w:rPr>
          <w:b/>
          <w:lang w:val="el-GR"/>
        </w:rPr>
      </w:pPr>
      <w:r>
        <w:rPr>
          <w:b/>
          <w:lang w:val="el-GR"/>
        </w:rPr>
        <w:t>Πίνακας 3.6</w:t>
      </w:r>
      <w:r w:rsidR="000F563F" w:rsidRPr="00F446F6">
        <w:rPr>
          <w:b/>
          <w:lang w:val="el-GR"/>
        </w:rPr>
        <w:t xml:space="preserve">. </w:t>
      </w:r>
      <w:r w:rsidR="000F563F" w:rsidRPr="00695BAD">
        <w:rPr>
          <w:b/>
        </w:rPr>
        <w:t>Item</w:t>
      </w:r>
      <w:r w:rsidR="000F563F" w:rsidRPr="00F446F6">
        <w:rPr>
          <w:b/>
          <w:lang w:val="el-GR"/>
        </w:rPr>
        <w:t xml:space="preserve"> </w:t>
      </w:r>
      <w:r w:rsidR="000F563F" w:rsidRPr="00695BAD">
        <w:rPr>
          <w:b/>
        </w:rPr>
        <w:t>to</w:t>
      </w:r>
      <w:r w:rsidR="000F563F" w:rsidRPr="00F446F6">
        <w:rPr>
          <w:b/>
          <w:lang w:val="el-GR"/>
        </w:rPr>
        <w:t xml:space="preserve"> </w:t>
      </w:r>
      <w:r w:rsidR="000F563F" w:rsidRPr="00695BAD">
        <w:rPr>
          <w:b/>
        </w:rPr>
        <w:t>Item</w:t>
      </w:r>
      <w:r w:rsidR="000F563F" w:rsidRPr="00F446F6">
        <w:rPr>
          <w:b/>
          <w:lang w:val="el-GR"/>
        </w:rPr>
        <w:t xml:space="preserve"> Ανάλυση της Κλίμακας σε σχέση με τις 9 </w:t>
      </w:r>
      <w:r w:rsidR="000F563F">
        <w:rPr>
          <w:b/>
        </w:rPr>
        <w:t>Likert</w:t>
      </w:r>
      <w:r w:rsidR="000F563F" w:rsidRPr="00F446F6">
        <w:rPr>
          <w:b/>
          <w:lang w:val="el-GR"/>
        </w:rPr>
        <w:t xml:space="preserve"> ερωτήσεις του πλην την ερώτηση ΝΑΙ/ΟΧΙ, για το Σύνολο του Δείγματος.</w:t>
      </w:r>
    </w:p>
    <w:tbl>
      <w:tblPr>
        <w:tblW w:w="8160" w:type="dxa"/>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16"/>
        <w:gridCol w:w="546"/>
        <w:gridCol w:w="546"/>
        <w:gridCol w:w="546"/>
        <w:gridCol w:w="546"/>
        <w:gridCol w:w="546"/>
        <w:gridCol w:w="546"/>
        <w:gridCol w:w="546"/>
        <w:gridCol w:w="546"/>
        <w:gridCol w:w="546"/>
        <w:gridCol w:w="546"/>
        <w:gridCol w:w="546"/>
        <w:gridCol w:w="546"/>
        <w:gridCol w:w="546"/>
        <w:gridCol w:w="546"/>
      </w:tblGrid>
      <w:tr w:rsidR="00C71E0B" w:rsidRPr="00B063E7" w14:paraId="0866CC43" w14:textId="77777777" w:rsidTr="00C71E0B">
        <w:trPr>
          <w:jc w:val="center"/>
        </w:trPr>
        <w:tc>
          <w:tcPr>
            <w:tcW w:w="516"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75" w:type="dxa"/>
              <w:bottom w:w="0" w:type="dxa"/>
              <w:right w:w="75" w:type="dxa"/>
            </w:tcMar>
            <w:vAlign w:val="bottom"/>
            <w:hideMark/>
          </w:tcPr>
          <w:p w14:paraId="5DA0DFC9" w14:textId="77777777" w:rsidR="00F25A0F" w:rsidRPr="00C71E0B" w:rsidRDefault="00F25A0F" w:rsidP="00B063E7">
            <w:pPr>
              <w:jc w:val="center"/>
              <w:rPr>
                <w:b/>
                <w:sz w:val="18"/>
                <w:szCs w:val="18"/>
                <w:lang w:val="el-GR"/>
              </w:rPr>
            </w:pPr>
          </w:p>
        </w:tc>
        <w:tc>
          <w:tcPr>
            <w:tcW w:w="546" w:type="dxa"/>
            <w:tcBorders>
              <w:top w:val="single" w:sz="12" w:space="0" w:color="000000"/>
              <w:left w:val="single" w:sz="12" w:space="0" w:color="000000"/>
              <w:bottom w:val="single" w:sz="12" w:space="0" w:color="000000"/>
              <w:right w:val="single" w:sz="6" w:space="0" w:color="000000"/>
            </w:tcBorders>
            <w:shd w:val="clear" w:color="auto" w:fill="FFFFFF"/>
            <w:tcMar>
              <w:top w:w="0" w:type="dxa"/>
              <w:left w:w="75" w:type="dxa"/>
              <w:bottom w:w="0" w:type="dxa"/>
              <w:right w:w="75" w:type="dxa"/>
            </w:tcMar>
            <w:vAlign w:val="bottom"/>
            <w:hideMark/>
          </w:tcPr>
          <w:p w14:paraId="7FB6037F" w14:textId="77777777" w:rsidR="00F25A0F" w:rsidRPr="00B063E7" w:rsidRDefault="00F25A0F" w:rsidP="00F25A0F">
            <w:pPr>
              <w:spacing w:line="240" w:lineRule="atLeast"/>
              <w:ind w:left="45"/>
              <w:jc w:val="center"/>
              <w:rPr>
                <w:rFonts w:ascii="Arial" w:hAnsi="Arial" w:cs="Arial"/>
                <w:b/>
                <w:sz w:val="18"/>
                <w:szCs w:val="18"/>
              </w:rPr>
            </w:pPr>
            <w:r w:rsidRPr="00B063E7">
              <w:rPr>
                <w:rFonts w:ascii="Arial" w:hAnsi="Arial" w:cs="Arial"/>
                <w:b/>
                <w:sz w:val="18"/>
                <w:szCs w:val="18"/>
              </w:rPr>
              <w:t>q1</w:t>
            </w:r>
          </w:p>
        </w:tc>
        <w:tc>
          <w:tcPr>
            <w:tcW w:w="546" w:type="dxa"/>
            <w:tcBorders>
              <w:top w:val="single" w:sz="12" w:space="0" w:color="000000"/>
              <w:left w:val="single" w:sz="6" w:space="0" w:color="000000"/>
              <w:bottom w:val="single" w:sz="12" w:space="0" w:color="000000"/>
              <w:right w:val="single" w:sz="6" w:space="0" w:color="000000"/>
            </w:tcBorders>
            <w:shd w:val="clear" w:color="auto" w:fill="FFFFFF"/>
            <w:tcMar>
              <w:top w:w="0" w:type="dxa"/>
              <w:left w:w="75" w:type="dxa"/>
              <w:bottom w:w="0" w:type="dxa"/>
              <w:right w:w="75" w:type="dxa"/>
            </w:tcMar>
            <w:vAlign w:val="bottom"/>
            <w:hideMark/>
          </w:tcPr>
          <w:p w14:paraId="04B12B68" w14:textId="77777777" w:rsidR="00F25A0F" w:rsidRPr="00B063E7" w:rsidRDefault="00F25A0F" w:rsidP="00F25A0F">
            <w:pPr>
              <w:spacing w:line="240" w:lineRule="atLeast"/>
              <w:ind w:left="45"/>
              <w:jc w:val="center"/>
              <w:rPr>
                <w:rFonts w:ascii="Arial" w:hAnsi="Arial" w:cs="Arial"/>
                <w:b/>
                <w:sz w:val="18"/>
                <w:szCs w:val="18"/>
              </w:rPr>
            </w:pPr>
            <w:r w:rsidRPr="00B063E7">
              <w:rPr>
                <w:rFonts w:ascii="Arial" w:hAnsi="Arial" w:cs="Arial"/>
                <w:b/>
                <w:sz w:val="18"/>
                <w:szCs w:val="18"/>
              </w:rPr>
              <w:t>q2</w:t>
            </w:r>
          </w:p>
        </w:tc>
        <w:tc>
          <w:tcPr>
            <w:tcW w:w="546" w:type="dxa"/>
            <w:tcBorders>
              <w:top w:val="single" w:sz="12" w:space="0" w:color="000000"/>
              <w:left w:val="single" w:sz="6" w:space="0" w:color="000000"/>
              <w:bottom w:val="single" w:sz="12" w:space="0" w:color="000000"/>
              <w:right w:val="single" w:sz="6" w:space="0" w:color="000000"/>
            </w:tcBorders>
            <w:shd w:val="clear" w:color="auto" w:fill="FFFFFF"/>
            <w:tcMar>
              <w:top w:w="0" w:type="dxa"/>
              <w:left w:w="75" w:type="dxa"/>
              <w:bottom w:w="0" w:type="dxa"/>
              <w:right w:w="75" w:type="dxa"/>
            </w:tcMar>
            <w:vAlign w:val="bottom"/>
            <w:hideMark/>
          </w:tcPr>
          <w:p w14:paraId="1BDAE975" w14:textId="77777777" w:rsidR="00F25A0F" w:rsidRPr="00B063E7" w:rsidRDefault="00F25A0F" w:rsidP="00F25A0F">
            <w:pPr>
              <w:spacing w:line="240" w:lineRule="atLeast"/>
              <w:ind w:left="45"/>
              <w:jc w:val="center"/>
              <w:rPr>
                <w:rFonts w:ascii="Arial" w:hAnsi="Arial" w:cs="Arial"/>
                <w:b/>
                <w:sz w:val="18"/>
                <w:szCs w:val="18"/>
              </w:rPr>
            </w:pPr>
            <w:r w:rsidRPr="00B063E7">
              <w:rPr>
                <w:rFonts w:ascii="Arial" w:hAnsi="Arial" w:cs="Arial"/>
                <w:b/>
                <w:sz w:val="18"/>
                <w:szCs w:val="18"/>
              </w:rPr>
              <w:t>q2b</w:t>
            </w:r>
          </w:p>
        </w:tc>
        <w:tc>
          <w:tcPr>
            <w:tcW w:w="546" w:type="dxa"/>
            <w:tcBorders>
              <w:top w:val="single" w:sz="12" w:space="0" w:color="000000"/>
              <w:left w:val="single" w:sz="6" w:space="0" w:color="000000"/>
              <w:bottom w:val="single" w:sz="12" w:space="0" w:color="000000"/>
              <w:right w:val="single" w:sz="6" w:space="0" w:color="000000"/>
            </w:tcBorders>
            <w:shd w:val="clear" w:color="auto" w:fill="FFFFFF"/>
            <w:tcMar>
              <w:top w:w="0" w:type="dxa"/>
              <w:left w:w="75" w:type="dxa"/>
              <w:bottom w:w="0" w:type="dxa"/>
              <w:right w:w="75" w:type="dxa"/>
            </w:tcMar>
            <w:vAlign w:val="bottom"/>
            <w:hideMark/>
          </w:tcPr>
          <w:p w14:paraId="383AFB94" w14:textId="77777777" w:rsidR="00F25A0F" w:rsidRPr="00B063E7" w:rsidRDefault="00F25A0F" w:rsidP="00F25A0F">
            <w:pPr>
              <w:spacing w:line="240" w:lineRule="atLeast"/>
              <w:ind w:left="45"/>
              <w:jc w:val="center"/>
              <w:rPr>
                <w:rFonts w:ascii="Arial" w:hAnsi="Arial" w:cs="Arial"/>
                <w:b/>
                <w:sz w:val="18"/>
                <w:szCs w:val="18"/>
              </w:rPr>
            </w:pPr>
            <w:r w:rsidRPr="00B063E7">
              <w:rPr>
                <w:rFonts w:ascii="Arial" w:hAnsi="Arial" w:cs="Arial"/>
                <w:b/>
                <w:sz w:val="18"/>
                <w:szCs w:val="18"/>
              </w:rPr>
              <w:t>q3</w:t>
            </w:r>
          </w:p>
        </w:tc>
        <w:tc>
          <w:tcPr>
            <w:tcW w:w="546" w:type="dxa"/>
            <w:tcBorders>
              <w:top w:val="single" w:sz="12" w:space="0" w:color="000000"/>
              <w:left w:val="single" w:sz="6" w:space="0" w:color="000000"/>
              <w:bottom w:val="single" w:sz="12" w:space="0" w:color="000000"/>
              <w:right w:val="single" w:sz="6" w:space="0" w:color="000000"/>
            </w:tcBorders>
            <w:shd w:val="clear" w:color="auto" w:fill="FFFFFF"/>
            <w:tcMar>
              <w:top w:w="0" w:type="dxa"/>
              <w:left w:w="75" w:type="dxa"/>
              <w:bottom w:w="0" w:type="dxa"/>
              <w:right w:w="75" w:type="dxa"/>
            </w:tcMar>
            <w:vAlign w:val="bottom"/>
            <w:hideMark/>
          </w:tcPr>
          <w:p w14:paraId="49D240F2" w14:textId="77777777" w:rsidR="00F25A0F" w:rsidRPr="00B063E7" w:rsidRDefault="00F25A0F" w:rsidP="00F25A0F">
            <w:pPr>
              <w:spacing w:line="240" w:lineRule="atLeast"/>
              <w:ind w:left="45"/>
              <w:jc w:val="center"/>
              <w:rPr>
                <w:rFonts w:ascii="Arial" w:hAnsi="Arial" w:cs="Arial"/>
                <w:b/>
                <w:sz w:val="18"/>
                <w:szCs w:val="18"/>
              </w:rPr>
            </w:pPr>
            <w:r w:rsidRPr="00B063E7">
              <w:rPr>
                <w:rFonts w:ascii="Arial" w:hAnsi="Arial" w:cs="Arial"/>
                <w:b/>
                <w:sz w:val="18"/>
                <w:szCs w:val="18"/>
              </w:rPr>
              <w:t>q3b</w:t>
            </w:r>
          </w:p>
        </w:tc>
        <w:tc>
          <w:tcPr>
            <w:tcW w:w="546" w:type="dxa"/>
            <w:tcBorders>
              <w:top w:val="single" w:sz="12" w:space="0" w:color="000000"/>
              <w:left w:val="single" w:sz="6" w:space="0" w:color="000000"/>
              <w:bottom w:val="single" w:sz="12" w:space="0" w:color="000000"/>
              <w:right w:val="single" w:sz="6" w:space="0" w:color="000000"/>
            </w:tcBorders>
            <w:shd w:val="clear" w:color="auto" w:fill="FFFFFF"/>
            <w:tcMar>
              <w:top w:w="0" w:type="dxa"/>
              <w:left w:w="75" w:type="dxa"/>
              <w:bottom w:w="0" w:type="dxa"/>
              <w:right w:w="75" w:type="dxa"/>
            </w:tcMar>
            <w:vAlign w:val="bottom"/>
            <w:hideMark/>
          </w:tcPr>
          <w:p w14:paraId="22125823" w14:textId="77777777" w:rsidR="00F25A0F" w:rsidRPr="00B063E7" w:rsidRDefault="00F25A0F" w:rsidP="00F25A0F">
            <w:pPr>
              <w:spacing w:line="240" w:lineRule="atLeast"/>
              <w:ind w:left="45"/>
              <w:jc w:val="center"/>
              <w:rPr>
                <w:rFonts w:ascii="Arial" w:hAnsi="Arial" w:cs="Arial"/>
                <w:b/>
                <w:sz w:val="18"/>
                <w:szCs w:val="18"/>
              </w:rPr>
            </w:pPr>
            <w:r w:rsidRPr="00B063E7">
              <w:rPr>
                <w:rFonts w:ascii="Arial" w:hAnsi="Arial" w:cs="Arial"/>
                <w:b/>
                <w:sz w:val="18"/>
                <w:szCs w:val="18"/>
              </w:rPr>
              <w:t>q4</w:t>
            </w:r>
          </w:p>
        </w:tc>
        <w:tc>
          <w:tcPr>
            <w:tcW w:w="546" w:type="dxa"/>
            <w:tcBorders>
              <w:top w:val="single" w:sz="12" w:space="0" w:color="000000"/>
              <w:left w:val="single" w:sz="6" w:space="0" w:color="000000"/>
              <w:bottom w:val="single" w:sz="12" w:space="0" w:color="000000"/>
              <w:right w:val="single" w:sz="6" w:space="0" w:color="000000"/>
            </w:tcBorders>
            <w:shd w:val="clear" w:color="auto" w:fill="FFFFFF"/>
            <w:tcMar>
              <w:top w:w="0" w:type="dxa"/>
              <w:left w:w="75" w:type="dxa"/>
              <w:bottom w:w="0" w:type="dxa"/>
              <w:right w:w="75" w:type="dxa"/>
            </w:tcMar>
            <w:vAlign w:val="bottom"/>
            <w:hideMark/>
          </w:tcPr>
          <w:p w14:paraId="34CBF07C" w14:textId="77777777" w:rsidR="00F25A0F" w:rsidRPr="00B063E7" w:rsidRDefault="00F25A0F" w:rsidP="00F25A0F">
            <w:pPr>
              <w:spacing w:line="240" w:lineRule="atLeast"/>
              <w:ind w:left="45"/>
              <w:jc w:val="center"/>
              <w:rPr>
                <w:rFonts w:ascii="Arial" w:hAnsi="Arial" w:cs="Arial"/>
                <w:b/>
                <w:sz w:val="18"/>
                <w:szCs w:val="18"/>
              </w:rPr>
            </w:pPr>
            <w:r w:rsidRPr="00B063E7">
              <w:rPr>
                <w:rFonts w:ascii="Arial" w:hAnsi="Arial" w:cs="Arial"/>
                <w:b/>
                <w:sz w:val="18"/>
                <w:szCs w:val="18"/>
              </w:rPr>
              <w:t>q4b</w:t>
            </w:r>
          </w:p>
        </w:tc>
        <w:tc>
          <w:tcPr>
            <w:tcW w:w="546" w:type="dxa"/>
            <w:tcBorders>
              <w:top w:val="single" w:sz="12" w:space="0" w:color="000000"/>
              <w:left w:val="single" w:sz="6" w:space="0" w:color="000000"/>
              <w:bottom w:val="single" w:sz="12" w:space="0" w:color="000000"/>
              <w:right w:val="single" w:sz="6" w:space="0" w:color="000000"/>
            </w:tcBorders>
            <w:shd w:val="clear" w:color="auto" w:fill="FFFFFF"/>
            <w:tcMar>
              <w:top w:w="0" w:type="dxa"/>
              <w:left w:w="75" w:type="dxa"/>
              <w:bottom w:w="0" w:type="dxa"/>
              <w:right w:w="75" w:type="dxa"/>
            </w:tcMar>
            <w:vAlign w:val="bottom"/>
            <w:hideMark/>
          </w:tcPr>
          <w:p w14:paraId="0ED5A09D" w14:textId="77777777" w:rsidR="00F25A0F" w:rsidRPr="00B063E7" w:rsidRDefault="00F25A0F" w:rsidP="00F25A0F">
            <w:pPr>
              <w:spacing w:line="240" w:lineRule="atLeast"/>
              <w:ind w:left="45"/>
              <w:jc w:val="center"/>
              <w:rPr>
                <w:rFonts w:ascii="Arial" w:hAnsi="Arial" w:cs="Arial"/>
                <w:b/>
                <w:sz w:val="18"/>
                <w:szCs w:val="18"/>
              </w:rPr>
            </w:pPr>
            <w:r w:rsidRPr="00B063E7">
              <w:rPr>
                <w:rFonts w:ascii="Arial" w:hAnsi="Arial" w:cs="Arial"/>
                <w:b/>
                <w:sz w:val="18"/>
                <w:szCs w:val="18"/>
              </w:rPr>
              <w:t>q5</w:t>
            </w:r>
          </w:p>
        </w:tc>
        <w:tc>
          <w:tcPr>
            <w:tcW w:w="546" w:type="dxa"/>
            <w:tcBorders>
              <w:top w:val="single" w:sz="12" w:space="0" w:color="000000"/>
              <w:left w:val="single" w:sz="6" w:space="0" w:color="000000"/>
              <w:bottom w:val="single" w:sz="12" w:space="0" w:color="000000"/>
              <w:right w:val="single" w:sz="6" w:space="0" w:color="000000"/>
            </w:tcBorders>
            <w:shd w:val="clear" w:color="auto" w:fill="FFFFFF"/>
            <w:tcMar>
              <w:top w:w="0" w:type="dxa"/>
              <w:left w:w="75" w:type="dxa"/>
              <w:bottom w:w="0" w:type="dxa"/>
              <w:right w:w="75" w:type="dxa"/>
            </w:tcMar>
            <w:vAlign w:val="bottom"/>
            <w:hideMark/>
          </w:tcPr>
          <w:p w14:paraId="347F592A" w14:textId="77777777" w:rsidR="00F25A0F" w:rsidRPr="00B063E7" w:rsidRDefault="00F25A0F" w:rsidP="00F25A0F">
            <w:pPr>
              <w:spacing w:line="240" w:lineRule="atLeast"/>
              <w:ind w:left="45"/>
              <w:jc w:val="center"/>
              <w:rPr>
                <w:rFonts w:ascii="Arial" w:hAnsi="Arial" w:cs="Arial"/>
                <w:b/>
                <w:sz w:val="18"/>
                <w:szCs w:val="18"/>
              </w:rPr>
            </w:pPr>
            <w:r w:rsidRPr="00B063E7">
              <w:rPr>
                <w:rFonts w:ascii="Arial" w:hAnsi="Arial" w:cs="Arial"/>
                <w:b/>
                <w:sz w:val="18"/>
                <w:szCs w:val="18"/>
              </w:rPr>
              <w:t>q5b</w:t>
            </w:r>
          </w:p>
        </w:tc>
        <w:tc>
          <w:tcPr>
            <w:tcW w:w="546" w:type="dxa"/>
            <w:tcBorders>
              <w:top w:val="single" w:sz="12" w:space="0" w:color="000000"/>
              <w:left w:val="single" w:sz="6" w:space="0" w:color="000000"/>
              <w:bottom w:val="single" w:sz="12" w:space="0" w:color="000000"/>
              <w:right w:val="single" w:sz="6" w:space="0" w:color="000000"/>
            </w:tcBorders>
            <w:shd w:val="clear" w:color="auto" w:fill="FFFFFF"/>
            <w:tcMar>
              <w:top w:w="0" w:type="dxa"/>
              <w:left w:w="75" w:type="dxa"/>
              <w:bottom w:w="0" w:type="dxa"/>
              <w:right w:w="75" w:type="dxa"/>
            </w:tcMar>
            <w:vAlign w:val="bottom"/>
            <w:hideMark/>
          </w:tcPr>
          <w:p w14:paraId="148C6798" w14:textId="77777777" w:rsidR="00F25A0F" w:rsidRPr="00B063E7" w:rsidRDefault="00F25A0F" w:rsidP="00F25A0F">
            <w:pPr>
              <w:spacing w:line="240" w:lineRule="atLeast"/>
              <w:ind w:left="45"/>
              <w:jc w:val="center"/>
              <w:rPr>
                <w:rFonts w:ascii="Arial" w:hAnsi="Arial" w:cs="Arial"/>
                <w:b/>
                <w:sz w:val="18"/>
                <w:szCs w:val="18"/>
              </w:rPr>
            </w:pPr>
            <w:r w:rsidRPr="00B063E7">
              <w:rPr>
                <w:rFonts w:ascii="Arial" w:hAnsi="Arial" w:cs="Arial"/>
                <w:b/>
                <w:sz w:val="18"/>
                <w:szCs w:val="18"/>
              </w:rPr>
              <w:t>q6</w:t>
            </w:r>
          </w:p>
        </w:tc>
        <w:tc>
          <w:tcPr>
            <w:tcW w:w="546" w:type="dxa"/>
            <w:tcBorders>
              <w:top w:val="single" w:sz="12" w:space="0" w:color="000000"/>
              <w:left w:val="single" w:sz="6" w:space="0" w:color="000000"/>
              <w:bottom w:val="single" w:sz="12" w:space="0" w:color="000000"/>
              <w:right w:val="single" w:sz="6" w:space="0" w:color="000000"/>
            </w:tcBorders>
            <w:shd w:val="clear" w:color="auto" w:fill="FFFFFF"/>
            <w:tcMar>
              <w:top w:w="0" w:type="dxa"/>
              <w:left w:w="75" w:type="dxa"/>
              <w:bottom w:w="0" w:type="dxa"/>
              <w:right w:w="75" w:type="dxa"/>
            </w:tcMar>
            <w:vAlign w:val="bottom"/>
            <w:hideMark/>
          </w:tcPr>
          <w:p w14:paraId="696EE2B2" w14:textId="77777777" w:rsidR="00F25A0F" w:rsidRPr="00B063E7" w:rsidRDefault="00F25A0F" w:rsidP="00F25A0F">
            <w:pPr>
              <w:spacing w:line="240" w:lineRule="atLeast"/>
              <w:ind w:left="45"/>
              <w:jc w:val="center"/>
              <w:rPr>
                <w:rFonts w:ascii="Arial" w:hAnsi="Arial" w:cs="Arial"/>
                <w:b/>
                <w:sz w:val="18"/>
                <w:szCs w:val="18"/>
              </w:rPr>
            </w:pPr>
            <w:r w:rsidRPr="00B063E7">
              <w:rPr>
                <w:rFonts w:ascii="Arial" w:hAnsi="Arial" w:cs="Arial"/>
                <w:b/>
                <w:sz w:val="18"/>
                <w:szCs w:val="18"/>
              </w:rPr>
              <w:t>q7</w:t>
            </w:r>
          </w:p>
        </w:tc>
        <w:tc>
          <w:tcPr>
            <w:tcW w:w="546" w:type="dxa"/>
            <w:tcBorders>
              <w:top w:val="single" w:sz="12" w:space="0" w:color="000000"/>
              <w:left w:val="single" w:sz="6" w:space="0" w:color="000000"/>
              <w:bottom w:val="single" w:sz="12" w:space="0" w:color="000000"/>
              <w:right w:val="single" w:sz="6" w:space="0" w:color="000000"/>
            </w:tcBorders>
            <w:shd w:val="clear" w:color="auto" w:fill="FFFFFF"/>
            <w:tcMar>
              <w:top w:w="0" w:type="dxa"/>
              <w:left w:w="75" w:type="dxa"/>
              <w:bottom w:w="0" w:type="dxa"/>
              <w:right w:w="75" w:type="dxa"/>
            </w:tcMar>
            <w:vAlign w:val="bottom"/>
            <w:hideMark/>
          </w:tcPr>
          <w:p w14:paraId="5DFBB482" w14:textId="77777777" w:rsidR="00F25A0F" w:rsidRPr="00B063E7" w:rsidRDefault="00F25A0F" w:rsidP="00F25A0F">
            <w:pPr>
              <w:spacing w:line="240" w:lineRule="atLeast"/>
              <w:ind w:left="45"/>
              <w:jc w:val="center"/>
              <w:rPr>
                <w:rFonts w:ascii="Arial" w:hAnsi="Arial" w:cs="Arial"/>
                <w:b/>
                <w:sz w:val="18"/>
                <w:szCs w:val="18"/>
              </w:rPr>
            </w:pPr>
            <w:r w:rsidRPr="00B063E7">
              <w:rPr>
                <w:rFonts w:ascii="Arial" w:hAnsi="Arial" w:cs="Arial"/>
                <w:b/>
                <w:sz w:val="18"/>
                <w:szCs w:val="18"/>
              </w:rPr>
              <w:t>q8</w:t>
            </w:r>
          </w:p>
        </w:tc>
        <w:tc>
          <w:tcPr>
            <w:tcW w:w="546" w:type="dxa"/>
            <w:tcBorders>
              <w:top w:val="single" w:sz="12" w:space="0" w:color="000000"/>
              <w:left w:val="single" w:sz="6" w:space="0" w:color="000000"/>
              <w:bottom w:val="single" w:sz="12" w:space="0" w:color="000000"/>
              <w:right w:val="single" w:sz="6" w:space="0" w:color="000000"/>
            </w:tcBorders>
            <w:shd w:val="clear" w:color="auto" w:fill="FFFFFF"/>
            <w:tcMar>
              <w:top w:w="0" w:type="dxa"/>
              <w:left w:w="75" w:type="dxa"/>
              <w:bottom w:w="0" w:type="dxa"/>
              <w:right w:w="75" w:type="dxa"/>
            </w:tcMar>
            <w:vAlign w:val="bottom"/>
            <w:hideMark/>
          </w:tcPr>
          <w:p w14:paraId="1C48C402" w14:textId="77777777" w:rsidR="00F25A0F" w:rsidRPr="00B063E7" w:rsidRDefault="00F25A0F" w:rsidP="00F25A0F">
            <w:pPr>
              <w:spacing w:line="240" w:lineRule="atLeast"/>
              <w:ind w:left="45"/>
              <w:jc w:val="center"/>
              <w:rPr>
                <w:rFonts w:ascii="Arial" w:hAnsi="Arial" w:cs="Arial"/>
                <w:b/>
                <w:sz w:val="18"/>
                <w:szCs w:val="18"/>
              </w:rPr>
            </w:pPr>
            <w:r w:rsidRPr="00B063E7">
              <w:rPr>
                <w:rFonts w:ascii="Arial" w:hAnsi="Arial" w:cs="Arial"/>
                <w:b/>
                <w:sz w:val="18"/>
                <w:szCs w:val="18"/>
              </w:rPr>
              <w:t>q9</w:t>
            </w:r>
          </w:p>
        </w:tc>
        <w:tc>
          <w:tcPr>
            <w:tcW w:w="546" w:type="dxa"/>
            <w:tcBorders>
              <w:top w:val="single" w:sz="12" w:space="0" w:color="000000"/>
              <w:left w:val="single" w:sz="6" w:space="0" w:color="000000"/>
              <w:bottom w:val="single" w:sz="12" w:space="0" w:color="000000"/>
              <w:right w:val="single" w:sz="12" w:space="0" w:color="000000"/>
            </w:tcBorders>
            <w:shd w:val="clear" w:color="auto" w:fill="FFFFFF"/>
            <w:tcMar>
              <w:top w:w="0" w:type="dxa"/>
              <w:left w:w="75" w:type="dxa"/>
              <w:bottom w:w="0" w:type="dxa"/>
              <w:right w:w="75" w:type="dxa"/>
            </w:tcMar>
            <w:vAlign w:val="bottom"/>
            <w:hideMark/>
          </w:tcPr>
          <w:p w14:paraId="2E943FF8" w14:textId="77777777" w:rsidR="00F25A0F" w:rsidRPr="00B063E7" w:rsidRDefault="00F25A0F" w:rsidP="00F25A0F">
            <w:pPr>
              <w:spacing w:line="240" w:lineRule="atLeast"/>
              <w:ind w:left="45"/>
              <w:jc w:val="center"/>
              <w:rPr>
                <w:rFonts w:ascii="Arial" w:hAnsi="Arial" w:cs="Arial"/>
                <w:b/>
                <w:sz w:val="18"/>
                <w:szCs w:val="18"/>
              </w:rPr>
            </w:pPr>
            <w:r w:rsidRPr="00B063E7">
              <w:rPr>
                <w:rFonts w:ascii="Arial" w:hAnsi="Arial" w:cs="Arial"/>
                <w:b/>
                <w:sz w:val="18"/>
                <w:szCs w:val="18"/>
              </w:rPr>
              <w:t>q11</w:t>
            </w:r>
          </w:p>
        </w:tc>
      </w:tr>
      <w:tr w:rsidR="00C71E0B" w:rsidRPr="00F25A0F" w14:paraId="1A942D97" w14:textId="77777777" w:rsidTr="00C71E0B">
        <w:trPr>
          <w:jc w:val="center"/>
        </w:trPr>
        <w:tc>
          <w:tcPr>
            <w:tcW w:w="516" w:type="dxa"/>
            <w:tcBorders>
              <w:top w:val="single" w:sz="12" w:space="0" w:color="000000"/>
              <w:left w:val="single" w:sz="12" w:space="0" w:color="000000"/>
              <w:bottom w:val="single" w:sz="6" w:space="0" w:color="CBCBCB"/>
              <w:right w:val="single" w:sz="12" w:space="0" w:color="000000"/>
            </w:tcBorders>
            <w:shd w:val="clear" w:color="auto" w:fill="FFFFFF"/>
            <w:tcMar>
              <w:top w:w="0" w:type="dxa"/>
              <w:left w:w="75" w:type="dxa"/>
              <w:bottom w:w="0" w:type="dxa"/>
              <w:right w:w="75" w:type="dxa"/>
            </w:tcMar>
            <w:hideMark/>
          </w:tcPr>
          <w:p w14:paraId="6AB6DE89" w14:textId="77777777" w:rsidR="00B063E7" w:rsidRPr="00B063E7" w:rsidRDefault="00B063E7" w:rsidP="00B063E7">
            <w:pPr>
              <w:spacing w:line="240" w:lineRule="atLeast"/>
              <w:ind w:left="45"/>
              <w:jc w:val="center"/>
              <w:rPr>
                <w:rFonts w:ascii="Arial" w:hAnsi="Arial" w:cs="Arial"/>
                <w:b/>
                <w:sz w:val="18"/>
                <w:szCs w:val="18"/>
              </w:rPr>
            </w:pPr>
            <w:r w:rsidRPr="00B063E7">
              <w:rPr>
                <w:rFonts w:ascii="Arial" w:hAnsi="Arial" w:cs="Arial"/>
                <w:b/>
                <w:sz w:val="18"/>
                <w:szCs w:val="18"/>
              </w:rPr>
              <w:t>q1</w:t>
            </w:r>
          </w:p>
        </w:tc>
        <w:tc>
          <w:tcPr>
            <w:tcW w:w="546" w:type="dxa"/>
            <w:tcBorders>
              <w:top w:val="single" w:sz="12" w:space="0" w:color="000000"/>
              <w:left w:val="single" w:sz="12"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04841074" w14:textId="77777777" w:rsidR="00B063E7" w:rsidRPr="00F25A0F" w:rsidRDefault="00B063E7" w:rsidP="00F25A0F">
            <w:pPr>
              <w:spacing w:line="240" w:lineRule="atLeast"/>
              <w:ind w:left="45"/>
              <w:jc w:val="right"/>
              <w:rPr>
                <w:rFonts w:ascii="Arial" w:hAnsi="Arial" w:cs="Arial"/>
                <w:sz w:val="18"/>
                <w:szCs w:val="18"/>
              </w:rPr>
            </w:pPr>
            <w:r>
              <w:rPr>
                <w:rFonts w:ascii="Arial" w:hAnsi="Arial" w:cs="Arial"/>
                <w:sz w:val="18"/>
                <w:szCs w:val="18"/>
              </w:rPr>
              <w:t>1.00</w:t>
            </w:r>
          </w:p>
        </w:tc>
        <w:tc>
          <w:tcPr>
            <w:tcW w:w="546" w:type="dxa"/>
            <w:tcBorders>
              <w:top w:val="single" w:sz="12" w:space="0" w:color="000000"/>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5977EE15" w14:textId="77777777" w:rsidR="00B063E7" w:rsidRPr="00F25A0F" w:rsidRDefault="00B063E7" w:rsidP="00F25A0F">
            <w:pPr>
              <w:spacing w:line="240" w:lineRule="atLeast"/>
              <w:ind w:left="45"/>
              <w:jc w:val="right"/>
              <w:rPr>
                <w:rFonts w:ascii="Arial" w:hAnsi="Arial" w:cs="Arial"/>
                <w:sz w:val="18"/>
                <w:szCs w:val="18"/>
              </w:rPr>
            </w:pPr>
          </w:p>
        </w:tc>
        <w:tc>
          <w:tcPr>
            <w:tcW w:w="546" w:type="dxa"/>
            <w:tcBorders>
              <w:top w:val="single" w:sz="12" w:space="0" w:color="000000"/>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68F58174" w14:textId="77777777" w:rsidR="00B063E7" w:rsidRPr="00F25A0F" w:rsidRDefault="00B063E7" w:rsidP="00F25A0F">
            <w:pPr>
              <w:spacing w:line="240" w:lineRule="atLeast"/>
              <w:ind w:left="45"/>
              <w:jc w:val="right"/>
              <w:rPr>
                <w:rFonts w:ascii="Arial" w:hAnsi="Arial" w:cs="Arial"/>
                <w:sz w:val="18"/>
                <w:szCs w:val="18"/>
              </w:rPr>
            </w:pPr>
          </w:p>
        </w:tc>
        <w:tc>
          <w:tcPr>
            <w:tcW w:w="546" w:type="dxa"/>
            <w:tcBorders>
              <w:top w:val="single" w:sz="12" w:space="0" w:color="000000"/>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2D743993" w14:textId="77777777" w:rsidR="00B063E7" w:rsidRPr="00F25A0F" w:rsidRDefault="00B063E7" w:rsidP="00F25A0F">
            <w:pPr>
              <w:spacing w:line="240" w:lineRule="atLeast"/>
              <w:ind w:left="45"/>
              <w:jc w:val="right"/>
              <w:rPr>
                <w:rFonts w:ascii="Arial" w:hAnsi="Arial" w:cs="Arial"/>
                <w:sz w:val="18"/>
                <w:szCs w:val="18"/>
              </w:rPr>
            </w:pPr>
          </w:p>
        </w:tc>
        <w:tc>
          <w:tcPr>
            <w:tcW w:w="546" w:type="dxa"/>
            <w:tcBorders>
              <w:top w:val="single" w:sz="12" w:space="0" w:color="000000"/>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5ED18E99" w14:textId="77777777" w:rsidR="00B063E7" w:rsidRPr="00F25A0F" w:rsidRDefault="00B063E7" w:rsidP="00F25A0F">
            <w:pPr>
              <w:spacing w:line="240" w:lineRule="atLeast"/>
              <w:ind w:left="45"/>
              <w:jc w:val="right"/>
              <w:rPr>
                <w:rFonts w:ascii="Arial" w:hAnsi="Arial" w:cs="Arial"/>
                <w:sz w:val="18"/>
                <w:szCs w:val="18"/>
              </w:rPr>
            </w:pPr>
          </w:p>
        </w:tc>
        <w:tc>
          <w:tcPr>
            <w:tcW w:w="546" w:type="dxa"/>
            <w:tcBorders>
              <w:top w:val="single" w:sz="12" w:space="0" w:color="000000"/>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28586763" w14:textId="77777777" w:rsidR="00B063E7" w:rsidRPr="00F25A0F" w:rsidRDefault="00B063E7" w:rsidP="00F25A0F">
            <w:pPr>
              <w:spacing w:line="240" w:lineRule="atLeast"/>
              <w:ind w:left="45"/>
              <w:jc w:val="right"/>
              <w:rPr>
                <w:rFonts w:ascii="Arial" w:hAnsi="Arial" w:cs="Arial"/>
                <w:sz w:val="18"/>
                <w:szCs w:val="18"/>
              </w:rPr>
            </w:pPr>
          </w:p>
        </w:tc>
        <w:tc>
          <w:tcPr>
            <w:tcW w:w="546" w:type="dxa"/>
            <w:tcBorders>
              <w:top w:val="single" w:sz="12" w:space="0" w:color="000000"/>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628318B4" w14:textId="77777777" w:rsidR="00B063E7" w:rsidRPr="00F25A0F" w:rsidRDefault="00B063E7" w:rsidP="00F25A0F">
            <w:pPr>
              <w:spacing w:line="240" w:lineRule="atLeast"/>
              <w:ind w:left="45"/>
              <w:jc w:val="right"/>
              <w:rPr>
                <w:rFonts w:ascii="Arial" w:hAnsi="Arial" w:cs="Arial"/>
                <w:sz w:val="18"/>
                <w:szCs w:val="18"/>
              </w:rPr>
            </w:pPr>
          </w:p>
        </w:tc>
        <w:tc>
          <w:tcPr>
            <w:tcW w:w="546" w:type="dxa"/>
            <w:tcBorders>
              <w:top w:val="single" w:sz="12" w:space="0" w:color="000000"/>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5A57A621" w14:textId="77777777" w:rsidR="00B063E7" w:rsidRPr="00F25A0F" w:rsidRDefault="00B063E7" w:rsidP="00F25A0F">
            <w:pPr>
              <w:spacing w:line="240" w:lineRule="atLeast"/>
              <w:ind w:left="45"/>
              <w:jc w:val="right"/>
              <w:rPr>
                <w:rFonts w:ascii="Arial" w:hAnsi="Arial" w:cs="Arial"/>
                <w:sz w:val="18"/>
                <w:szCs w:val="18"/>
              </w:rPr>
            </w:pPr>
          </w:p>
        </w:tc>
        <w:tc>
          <w:tcPr>
            <w:tcW w:w="546" w:type="dxa"/>
            <w:tcBorders>
              <w:top w:val="single" w:sz="12" w:space="0" w:color="000000"/>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6F8D19AD" w14:textId="77777777" w:rsidR="00B063E7" w:rsidRPr="00F25A0F" w:rsidRDefault="00B063E7" w:rsidP="00F25A0F">
            <w:pPr>
              <w:spacing w:line="240" w:lineRule="atLeast"/>
              <w:ind w:left="45"/>
              <w:jc w:val="right"/>
              <w:rPr>
                <w:rFonts w:ascii="Arial" w:hAnsi="Arial" w:cs="Arial"/>
                <w:sz w:val="18"/>
                <w:szCs w:val="18"/>
              </w:rPr>
            </w:pPr>
          </w:p>
        </w:tc>
        <w:tc>
          <w:tcPr>
            <w:tcW w:w="546" w:type="dxa"/>
            <w:tcBorders>
              <w:top w:val="single" w:sz="12" w:space="0" w:color="000000"/>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131EEBF3" w14:textId="77777777" w:rsidR="00B063E7" w:rsidRPr="00F25A0F" w:rsidRDefault="00B063E7" w:rsidP="00F25A0F">
            <w:pPr>
              <w:spacing w:line="240" w:lineRule="atLeast"/>
              <w:ind w:left="45"/>
              <w:jc w:val="right"/>
              <w:rPr>
                <w:rFonts w:ascii="Arial" w:hAnsi="Arial" w:cs="Arial"/>
                <w:sz w:val="18"/>
                <w:szCs w:val="18"/>
              </w:rPr>
            </w:pPr>
          </w:p>
        </w:tc>
        <w:tc>
          <w:tcPr>
            <w:tcW w:w="546" w:type="dxa"/>
            <w:tcBorders>
              <w:top w:val="single" w:sz="12" w:space="0" w:color="000000"/>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244E848C" w14:textId="77777777" w:rsidR="00B063E7" w:rsidRPr="00F25A0F" w:rsidRDefault="00B063E7" w:rsidP="00F25A0F">
            <w:pPr>
              <w:spacing w:line="240" w:lineRule="atLeast"/>
              <w:ind w:left="45"/>
              <w:jc w:val="right"/>
              <w:rPr>
                <w:rFonts w:ascii="Arial" w:hAnsi="Arial" w:cs="Arial"/>
                <w:sz w:val="18"/>
                <w:szCs w:val="18"/>
              </w:rPr>
            </w:pPr>
          </w:p>
        </w:tc>
        <w:tc>
          <w:tcPr>
            <w:tcW w:w="546" w:type="dxa"/>
            <w:tcBorders>
              <w:top w:val="single" w:sz="12" w:space="0" w:color="000000"/>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733FBC55" w14:textId="77777777" w:rsidR="00B063E7" w:rsidRPr="00F25A0F" w:rsidRDefault="00B063E7" w:rsidP="00F25A0F">
            <w:pPr>
              <w:spacing w:line="240" w:lineRule="atLeast"/>
              <w:ind w:left="45"/>
              <w:jc w:val="right"/>
              <w:rPr>
                <w:rFonts w:ascii="Arial" w:hAnsi="Arial" w:cs="Arial"/>
                <w:sz w:val="18"/>
                <w:szCs w:val="18"/>
              </w:rPr>
            </w:pPr>
          </w:p>
        </w:tc>
        <w:tc>
          <w:tcPr>
            <w:tcW w:w="546" w:type="dxa"/>
            <w:tcBorders>
              <w:top w:val="single" w:sz="12" w:space="0" w:color="000000"/>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6F290209" w14:textId="77777777" w:rsidR="00B063E7" w:rsidRPr="00F25A0F" w:rsidRDefault="00B063E7" w:rsidP="00F25A0F">
            <w:pPr>
              <w:spacing w:line="240" w:lineRule="atLeast"/>
              <w:ind w:left="45"/>
              <w:jc w:val="right"/>
              <w:rPr>
                <w:rFonts w:ascii="Arial" w:hAnsi="Arial" w:cs="Arial"/>
                <w:sz w:val="18"/>
                <w:szCs w:val="18"/>
              </w:rPr>
            </w:pPr>
          </w:p>
        </w:tc>
        <w:tc>
          <w:tcPr>
            <w:tcW w:w="546" w:type="dxa"/>
            <w:tcBorders>
              <w:top w:val="single" w:sz="12" w:space="0" w:color="000000"/>
              <w:left w:val="single" w:sz="6" w:space="0" w:color="000000"/>
              <w:bottom w:val="single" w:sz="6" w:space="0" w:color="CBCBCB"/>
              <w:right w:val="single" w:sz="12" w:space="0" w:color="000000"/>
            </w:tcBorders>
            <w:shd w:val="clear" w:color="auto" w:fill="FFFFFF"/>
            <w:tcMar>
              <w:top w:w="0" w:type="dxa"/>
              <w:left w:w="75" w:type="dxa"/>
              <w:bottom w:w="0" w:type="dxa"/>
              <w:right w:w="75" w:type="dxa"/>
            </w:tcMar>
            <w:vAlign w:val="center"/>
            <w:hideMark/>
          </w:tcPr>
          <w:p w14:paraId="13400889" w14:textId="77777777" w:rsidR="00B063E7" w:rsidRPr="00F25A0F" w:rsidRDefault="00B063E7" w:rsidP="00F25A0F">
            <w:pPr>
              <w:spacing w:line="240" w:lineRule="atLeast"/>
              <w:ind w:left="45"/>
              <w:jc w:val="right"/>
              <w:rPr>
                <w:rFonts w:ascii="Arial" w:hAnsi="Arial" w:cs="Arial"/>
                <w:sz w:val="18"/>
                <w:szCs w:val="18"/>
              </w:rPr>
            </w:pPr>
          </w:p>
        </w:tc>
      </w:tr>
      <w:tr w:rsidR="00C71E0B" w:rsidRPr="00F25A0F" w14:paraId="4B561692" w14:textId="77777777" w:rsidTr="00C71E0B">
        <w:trPr>
          <w:jc w:val="center"/>
        </w:trPr>
        <w:tc>
          <w:tcPr>
            <w:tcW w:w="516" w:type="dxa"/>
            <w:tcBorders>
              <w:top w:val="single" w:sz="6" w:space="0" w:color="CBCBCB"/>
              <w:left w:val="single" w:sz="12" w:space="0" w:color="000000"/>
              <w:bottom w:val="single" w:sz="6" w:space="0" w:color="CBCBCB"/>
              <w:right w:val="single" w:sz="12" w:space="0" w:color="000000"/>
            </w:tcBorders>
            <w:shd w:val="clear" w:color="auto" w:fill="FFFFFF"/>
            <w:tcMar>
              <w:top w:w="0" w:type="dxa"/>
              <w:left w:w="75" w:type="dxa"/>
              <w:bottom w:w="0" w:type="dxa"/>
              <w:right w:w="75" w:type="dxa"/>
            </w:tcMar>
            <w:hideMark/>
          </w:tcPr>
          <w:p w14:paraId="41A5A7B6" w14:textId="77777777" w:rsidR="00B063E7" w:rsidRPr="00B063E7" w:rsidRDefault="00B063E7" w:rsidP="00B063E7">
            <w:pPr>
              <w:spacing w:line="240" w:lineRule="atLeast"/>
              <w:ind w:left="45"/>
              <w:jc w:val="center"/>
              <w:rPr>
                <w:rFonts w:ascii="Arial" w:hAnsi="Arial" w:cs="Arial"/>
                <w:b/>
                <w:sz w:val="18"/>
                <w:szCs w:val="18"/>
              </w:rPr>
            </w:pPr>
            <w:r w:rsidRPr="00B063E7">
              <w:rPr>
                <w:rFonts w:ascii="Arial" w:hAnsi="Arial" w:cs="Arial"/>
                <w:b/>
                <w:sz w:val="18"/>
                <w:szCs w:val="18"/>
              </w:rPr>
              <w:t>q2</w:t>
            </w:r>
          </w:p>
        </w:tc>
        <w:tc>
          <w:tcPr>
            <w:tcW w:w="546" w:type="dxa"/>
            <w:tcBorders>
              <w:top w:val="single" w:sz="6" w:space="0" w:color="CBCBCB"/>
              <w:left w:val="single" w:sz="12"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0B1FD141"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.541</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5EAB5FD0" w14:textId="77777777" w:rsidR="00B063E7" w:rsidRPr="00F25A0F" w:rsidRDefault="00B063E7" w:rsidP="00F25A0F">
            <w:pPr>
              <w:spacing w:line="240" w:lineRule="atLeast"/>
              <w:ind w:left="45"/>
              <w:jc w:val="right"/>
              <w:rPr>
                <w:rFonts w:ascii="Arial" w:hAnsi="Arial" w:cs="Arial"/>
                <w:sz w:val="18"/>
                <w:szCs w:val="18"/>
              </w:rPr>
            </w:pPr>
            <w:r>
              <w:rPr>
                <w:rFonts w:ascii="Arial" w:hAnsi="Arial" w:cs="Arial"/>
                <w:sz w:val="18"/>
                <w:szCs w:val="18"/>
              </w:rPr>
              <w:t>1.00</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6F87870D" w14:textId="77777777" w:rsidR="00B063E7" w:rsidRPr="00F25A0F" w:rsidRDefault="00B063E7" w:rsidP="00F25A0F">
            <w:pPr>
              <w:spacing w:line="240" w:lineRule="atLeast"/>
              <w:ind w:left="45"/>
              <w:jc w:val="right"/>
              <w:rPr>
                <w:rFonts w:ascii="Arial" w:hAnsi="Arial" w:cs="Arial"/>
                <w:sz w:val="18"/>
                <w:szCs w:val="18"/>
              </w:rPr>
            </w:pP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3D54EB6B" w14:textId="77777777" w:rsidR="00B063E7" w:rsidRPr="00F25A0F" w:rsidRDefault="00B063E7" w:rsidP="00F25A0F">
            <w:pPr>
              <w:spacing w:line="240" w:lineRule="atLeast"/>
              <w:ind w:left="45"/>
              <w:jc w:val="right"/>
              <w:rPr>
                <w:rFonts w:ascii="Arial" w:hAnsi="Arial" w:cs="Arial"/>
                <w:sz w:val="18"/>
                <w:szCs w:val="18"/>
              </w:rPr>
            </w:pP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7DD83EB6" w14:textId="77777777" w:rsidR="00B063E7" w:rsidRPr="00F25A0F" w:rsidRDefault="00B063E7" w:rsidP="00F25A0F">
            <w:pPr>
              <w:spacing w:line="240" w:lineRule="atLeast"/>
              <w:ind w:left="45"/>
              <w:jc w:val="right"/>
              <w:rPr>
                <w:rFonts w:ascii="Arial" w:hAnsi="Arial" w:cs="Arial"/>
                <w:sz w:val="18"/>
                <w:szCs w:val="18"/>
              </w:rPr>
            </w:pP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6BEAB9F6" w14:textId="77777777" w:rsidR="00B063E7" w:rsidRPr="00F25A0F" w:rsidRDefault="00B063E7" w:rsidP="00F25A0F">
            <w:pPr>
              <w:spacing w:line="240" w:lineRule="atLeast"/>
              <w:ind w:left="45"/>
              <w:jc w:val="right"/>
              <w:rPr>
                <w:rFonts w:ascii="Arial" w:hAnsi="Arial" w:cs="Arial"/>
                <w:sz w:val="18"/>
                <w:szCs w:val="18"/>
              </w:rPr>
            </w:pP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26ECF74C" w14:textId="77777777" w:rsidR="00B063E7" w:rsidRPr="00F25A0F" w:rsidRDefault="00B063E7" w:rsidP="00F25A0F">
            <w:pPr>
              <w:spacing w:line="240" w:lineRule="atLeast"/>
              <w:ind w:left="45"/>
              <w:jc w:val="right"/>
              <w:rPr>
                <w:rFonts w:ascii="Arial" w:hAnsi="Arial" w:cs="Arial"/>
                <w:sz w:val="18"/>
                <w:szCs w:val="18"/>
              </w:rPr>
            </w:pP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6BD7EBDC" w14:textId="77777777" w:rsidR="00B063E7" w:rsidRPr="00F25A0F" w:rsidRDefault="00B063E7" w:rsidP="00F25A0F">
            <w:pPr>
              <w:spacing w:line="240" w:lineRule="atLeast"/>
              <w:ind w:left="45"/>
              <w:jc w:val="right"/>
              <w:rPr>
                <w:rFonts w:ascii="Arial" w:hAnsi="Arial" w:cs="Arial"/>
                <w:sz w:val="18"/>
                <w:szCs w:val="18"/>
              </w:rPr>
            </w:pP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55803B2D" w14:textId="77777777" w:rsidR="00B063E7" w:rsidRPr="00F25A0F" w:rsidRDefault="00B063E7" w:rsidP="00F25A0F">
            <w:pPr>
              <w:spacing w:line="240" w:lineRule="atLeast"/>
              <w:ind w:left="45"/>
              <w:jc w:val="right"/>
              <w:rPr>
                <w:rFonts w:ascii="Arial" w:hAnsi="Arial" w:cs="Arial"/>
                <w:sz w:val="18"/>
                <w:szCs w:val="18"/>
              </w:rPr>
            </w:pP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336B08B0" w14:textId="77777777" w:rsidR="00B063E7" w:rsidRPr="00F25A0F" w:rsidRDefault="00B063E7" w:rsidP="00F25A0F">
            <w:pPr>
              <w:spacing w:line="240" w:lineRule="atLeast"/>
              <w:ind w:left="45"/>
              <w:jc w:val="right"/>
              <w:rPr>
                <w:rFonts w:ascii="Arial" w:hAnsi="Arial" w:cs="Arial"/>
                <w:sz w:val="18"/>
                <w:szCs w:val="18"/>
              </w:rPr>
            </w:pP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2C390B86" w14:textId="77777777" w:rsidR="00B063E7" w:rsidRPr="00F25A0F" w:rsidRDefault="00B063E7" w:rsidP="00F25A0F">
            <w:pPr>
              <w:spacing w:line="240" w:lineRule="atLeast"/>
              <w:ind w:left="45"/>
              <w:jc w:val="right"/>
              <w:rPr>
                <w:rFonts w:ascii="Arial" w:hAnsi="Arial" w:cs="Arial"/>
                <w:sz w:val="18"/>
                <w:szCs w:val="18"/>
              </w:rPr>
            </w:pP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237BE760" w14:textId="77777777" w:rsidR="00B063E7" w:rsidRPr="00F25A0F" w:rsidRDefault="00B063E7" w:rsidP="00F25A0F">
            <w:pPr>
              <w:spacing w:line="240" w:lineRule="atLeast"/>
              <w:ind w:left="45"/>
              <w:jc w:val="right"/>
              <w:rPr>
                <w:rFonts w:ascii="Arial" w:hAnsi="Arial" w:cs="Arial"/>
                <w:sz w:val="18"/>
                <w:szCs w:val="18"/>
              </w:rPr>
            </w:pP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63682397" w14:textId="77777777" w:rsidR="00B063E7" w:rsidRPr="00F25A0F" w:rsidRDefault="00B063E7" w:rsidP="00F25A0F">
            <w:pPr>
              <w:spacing w:line="240" w:lineRule="atLeast"/>
              <w:ind w:left="45"/>
              <w:jc w:val="right"/>
              <w:rPr>
                <w:rFonts w:ascii="Arial" w:hAnsi="Arial" w:cs="Arial"/>
                <w:sz w:val="18"/>
                <w:szCs w:val="18"/>
              </w:rPr>
            </w:pPr>
          </w:p>
        </w:tc>
        <w:tc>
          <w:tcPr>
            <w:tcW w:w="546" w:type="dxa"/>
            <w:tcBorders>
              <w:top w:val="single" w:sz="6" w:space="0" w:color="CBCBCB"/>
              <w:left w:val="single" w:sz="6" w:space="0" w:color="000000"/>
              <w:bottom w:val="single" w:sz="6" w:space="0" w:color="CBCBCB"/>
              <w:right w:val="single" w:sz="12" w:space="0" w:color="000000"/>
            </w:tcBorders>
            <w:shd w:val="clear" w:color="auto" w:fill="FFFFFF"/>
            <w:tcMar>
              <w:top w:w="0" w:type="dxa"/>
              <w:left w:w="75" w:type="dxa"/>
              <w:bottom w:w="0" w:type="dxa"/>
              <w:right w:w="75" w:type="dxa"/>
            </w:tcMar>
            <w:vAlign w:val="center"/>
            <w:hideMark/>
          </w:tcPr>
          <w:p w14:paraId="2D2A5044" w14:textId="77777777" w:rsidR="00B063E7" w:rsidRPr="00F25A0F" w:rsidRDefault="00B063E7" w:rsidP="00F25A0F">
            <w:pPr>
              <w:spacing w:line="240" w:lineRule="atLeast"/>
              <w:ind w:left="45"/>
              <w:jc w:val="right"/>
              <w:rPr>
                <w:rFonts w:ascii="Arial" w:hAnsi="Arial" w:cs="Arial"/>
                <w:sz w:val="18"/>
                <w:szCs w:val="18"/>
              </w:rPr>
            </w:pPr>
          </w:p>
        </w:tc>
      </w:tr>
      <w:tr w:rsidR="00C71E0B" w:rsidRPr="00F25A0F" w14:paraId="274CEE61" w14:textId="77777777" w:rsidTr="00C71E0B">
        <w:trPr>
          <w:jc w:val="center"/>
        </w:trPr>
        <w:tc>
          <w:tcPr>
            <w:tcW w:w="516" w:type="dxa"/>
            <w:tcBorders>
              <w:top w:val="single" w:sz="6" w:space="0" w:color="CBCBCB"/>
              <w:left w:val="single" w:sz="12" w:space="0" w:color="000000"/>
              <w:bottom w:val="single" w:sz="6" w:space="0" w:color="CBCBCB"/>
              <w:right w:val="single" w:sz="12" w:space="0" w:color="000000"/>
            </w:tcBorders>
            <w:shd w:val="clear" w:color="auto" w:fill="FFFFFF"/>
            <w:tcMar>
              <w:top w:w="0" w:type="dxa"/>
              <w:left w:w="75" w:type="dxa"/>
              <w:bottom w:w="0" w:type="dxa"/>
              <w:right w:w="75" w:type="dxa"/>
            </w:tcMar>
            <w:hideMark/>
          </w:tcPr>
          <w:p w14:paraId="40ACBF06" w14:textId="77777777" w:rsidR="00B063E7" w:rsidRPr="00B063E7" w:rsidRDefault="00B063E7" w:rsidP="00B063E7">
            <w:pPr>
              <w:spacing w:line="240" w:lineRule="atLeast"/>
              <w:ind w:left="45"/>
              <w:jc w:val="center"/>
              <w:rPr>
                <w:rFonts w:ascii="Arial" w:hAnsi="Arial" w:cs="Arial"/>
                <w:b/>
                <w:sz w:val="18"/>
                <w:szCs w:val="18"/>
              </w:rPr>
            </w:pPr>
            <w:r w:rsidRPr="00B063E7">
              <w:rPr>
                <w:rFonts w:ascii="Arial" w:hAnsi="Arial" w:cs="Arial"/>
                <w:b/>
                <w:sz w:val="18"/>
                <w:szCs w:val="18"/>
              </w:rPr>
              <w:t>q2b</w:t>
            </w:r>
          </w:p>
        </w:tc>
        <w:tc>
          <w:tcPr>
            <w:tcW w:w="546" w:type="dxa"/>
            <w:tcBorders>
              <w:top w:val="single" w:sz="6" w:space="0" w:color="CBCBCB"/>
              <w:left w:val="single" w:sz="12"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3E2916CE"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.465</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495CBD91"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.610</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05E150A0" w14:textId="77777777" w:rsidR="00B063E7" w:rsidRPr="00F25A0F" w:rsidRDefault="00B063E7" w:rsidP="00F25A0F">
            <w:pPr>
              <w:spacing w:line="240" w:lineRule="atLeast"/>
              <w:ind w:left="45"/>
              <w:jc w:val="right"/>
              <w:rPr>
                <w:rFonts w:ascii="Arial" w:hAnsi="Arial" w:cs="Arial"/>
                <w:sz w:val="18"/>
                <w:szCs w:val="18"/>
              </w:rPr>
            </w:pPr>
            <w:r>
              <w:rPr>
                <w:rFonts w:ascii="Arial" w:hAnsi="Arial" w:cs="Arial"/>
                <w:sz w:val="18"/>
                <w:szCs w:val="18"/>
              </w:rPr>
              <w:t>1.00</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2FDEC1A6" w14:textId="77777777" w:rsidR="00B063E7" w:rsidRPr="00F25A0F" w:rsidRDefault="00B063E7" w:rsidP="00F25A0F">
            <w:pPr>
              <w:spacing w:line="240" w:lineRule="atLeast"/>
              <w:ind w:left="45"/>
              <w:jc w:val="right"/>
              <w:rPr>
                <w:rFonts w:ascii="Arial" w:hAnsi="Arial" w:cs="Arial"/>
                <w:sz w:val="18"/>
                <w:szCs w:val="18"/>
              </w:rPr>
            </w:pP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0FB7C7A3" w14:textId="77777777" w:rsidR="00B063E7" w:rsidRPr="00F25A0F" w:rsidRDefault="00B063E7" w:rsidP="00F25A0F">
            <w:pPr>
              <w:spacing w:line="240" w:lineRule="atLeast"/>
              <w:ind w:left="45"/>
              <w:jc w:val="right"/>
              <w:rPr>
                <w:rFonts w:ascii="Arial" w:hAnsi="Arial" w:cs="Arial"/>
                <w:sz w:val="18"/>
                <w:szCs w:val="18"/>
              </w:rPr>
            </w:pP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187272E3" w14:textId="77777777" w:rsidR="00B063E7" w:rsidRPr="00F25A0F" w:rsidRDefault="00B063E7" w:rsidP="00F25A0F">
            <w:pPr>
              <w:spacing w:line="240" w:lineRule="atLeast"/>
              <w:ind w:left="45"/>
              <w:jc w:val="right"/>
              <w:rPr>
                <w:rFonts w:ascii="Arial" w:hAnsi="Arial" w:cs="Arial"/>
                <w:sz w:val="18"/>
                <w:szCs w:val="18"/>
              </w:rPr>
            </w:pP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79AE2A8E" w14:textId="77777777" w:rsidR="00B063E7" w:rsidRPr="00F25A0F" w:rsidRDefault="00B063E7" w:rsidP="00F25A0F">
            <w:pPr>
              <w:spacing w:line="240" w:lineRule="atLeast"/>
              <w:ind w:left="45"/>
              <w:jc w:val="right"/>
              <w:rPr>
                <w:rFonts w:ascii="Arial" w:hAnsi="Arial" w:cs="Arial"/>
                <w:sz w:val="18"/>
                <w:szCs w:val="18"/>
              </w:rPr>
            </w:pP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29A37D5A" w14:textId="77777777" w:rsidR="00B063E7" w:rsidRPr="00F25A0F" w:rsidRDefault="00B063E7" w:rsidP="00F25A0F">
            <w:pPr>
              <w:spacing w:line="240" w:lineRule="atLeast"/>
              <w:ind w:left="45"/>
              <w:jc w:val="right"/>
              <w:rPr>
                <w:rFonts w:ascii="Arial" w:hAnsi="Arial" w:cs="Arial"/>
                <w:sz w:val="18"/>
                <w:szCs w:val="18"/>
              </w:rPr>
            </w:pP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000CB19A" w14:textId="77777777" w:rsidR="00B063E7" w:rsidRPr="00F25A0F" w:rsidRDefault="00B063E7" w:rsidP="00F25A0F">
            <w:pPr>
              <w:spacing w:line="240" w:lineRule="atLeast"/>
              <w:ind w:left="45"/>
              <w:jc w:val="right"/>
              <w:rPr>
                <w:rFonts w:ascii="Arial" w:hAnsi="Arial" w:cs="Arial"/>
                <w:sz w:val="18"/>
                <w:szCs w:val="18"/>
              </w:rPr>
            </w:pP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02061480" w14:textId="77777777" w:rsidR="00B063E7" w:rsidRPr="00F25A0F" w:rsidRDefault="00B063E7" w:rsidP="00F25A0F">
            <w:pPr>
              <w:spacing w:line="240" w:lineRule="atLeast"/>
              <w:ind w:left="45"/>
              <w:jc w:val="right"/>
              <w:rPr>
                <w:rFonts w:ascii="Arial" w:hAnsi="Arial" w:cs="Arial"/>
                <w:sz w:val="18"/>
                <w:szCs w:val="18"/>
              </w:rPr>
            </w:pP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3E4D24C7" w14:textId="77777777" w:rsidR="00B063E7" w:rsidRPr="00F25A0F" w:rsidRDefault="00B063E7" w:rsidP="00F25A0F">
            <w:pPr>
              <w:spacing w:line="240" w:lineRule="atLeast"/>
              <w:ind w:left="45"/>
              <w:jc w:val="right"/>
              <w:rPr>
                <w:rFonts w:ascii="Arial" w:hAnsi="Arial" w:cs="Arial"/>
                <w:sz w:val="18"/>
                <w:szCs w:val="18"/>
              </w:rPr>
            </w:pP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3088C938" w14:textId="77777777" w:rsidR="00B063E7" w:rsidRPr="00F25A0F" w:rsidRDefault="00B063E7" w:rsidP="00F25A0F">
            <w:pPr>
              <w:spacing w:line="240" w:lineRule="atLeast"/>
              <w:ind w:left="45"/>
              <w:jc w:val="right"/>
              <w:rPr>
                <w:rFonts w:ascii="Arial" w:hAnsi="Arial" w:cs="Arial"/>
                <w:sz w:val="18"/>
                <w:szCs w:val="18"/>
              </w:rPr>
            </w:pP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0A9C3254" w14:textId="77777777" w:rsidR="00B063E7" w:rsidRPr="00F25A0F" w:rsidRDefault="00B063E7" w:rsidP="00F25A0F">
            <w:pPr>
              <w:spacing w:line="240" w:lineRule="atLeast"/>
              <w:ind w:left="45"/>
              <w:jc w:val="right"/>
              <w:rPr>
                <w:rFonts w:ascii="Arial" w:hAnsi="Arial" w:cs="Arial"/>
                <w:sz w:val="18"/>
                <w:szCs w:val="18"/>
              </w:rPr>
            </w:pPr>
          </w:p>
        </w:tc>
        <w:tc>
          <w:tcPr>
            <w:tcW w:w="546" w:type="dxa"/>
            <w:tcBorders>
              <w:top w:val="single" w:sz="6" w:space="0" w:color="CBCBCB"/>
              <w:left w:val="single" w:sz="6" w:space="0" w:color="000000"/>
              <w:bottom w:val="single" w:sz="6" w:space="0" w:color="CBCBCB"/>
              <w:right w:val="single" w:sz="12" w:space="0" w:color="000000"/>
            </w:tcBorders>
            <w:shd w:val="clear" w:color="auto" w:fill="FFFFFF"/>
            <w:tcMar>
              <w:top w:w="0" w:type="dxa"/>
              <w:left w:w="75" w:type="dxa"/>
              <w:bottom w:w="0" w:type="dxa"/>
              <w:right w:w="75" w:type="dxa"/>
            </w:tcMar>
            <w:vAlign w:val="center"/>
            <w:hideMark/>
          </w:tcPr>
          <w:p w14:paraId="254370D9" w14:textId="77777777" w:rsidR="00B063E7" w:rsidRPr="00F25A0F" w:rsidRDefault="00B063E7" w:rsidP="00F25A0F">
            <w:pPr>
              <w:spacing w:line="240" w:lineRule="atLeast"/>
              <w:ind w:left="45"/>
              <w:jc w:val="right"/>
              <w:rPr>
                <w:rFonts w:ascii="Arial" w:hAnsi="Arial" w:cs="Arial"/>
                <w:sz w:val="18"/>
                <w:szCs w:val="18"/>
              </w:rPr>
            </w:pPr>
          </w:p>
        </w:tc>
      </w:tr>
      <w:tr w:rsidR="00C71E0B" w:rsidRPr="00F25A0F" w14:paraId="2B2BD645" w14:textId="77777777" w:rsidTr="00C71E0B">
        <w:trPr>
          <w:jc w:val="center"/>
        </w:trPr>
        <w:tc>
          <w:tcPr>
            <w:tcW w:w="516" w:type="dxa"/>
            <w:tcBorders>
              <w:top w:val="single" w:sz="6" w:space="0" w:color="CBCBCB"/>
              <w:left w:val="single" w:sz="12" w:space="0" w:color="000000"/>
              <w:bottom w:val="single" w:sz="6" w:space="0" w:color="CBCBCB"/>
              <w:right w:val="single" w:sz="12" w:space="0" w:color="000000"/>
            </w:tcBorders>
            <w:shd w:val="clear" w:color="auto" w:fill="FFFFFF"/>
            <w:tcMar>
              <w:top w:w="0" w:type="dxa"/>
              <w:left w:w="75" w:type="dxa"/>
              <w:bottom w:w="0" w:type="dxa"/>
              <w:right w:w="75" w:type="dxa"/>
            </w:tcMar>
            <w:hideMark/>
          </w:tcPr>
          <w:p w14:paraId="4D61C5E5" w14:textId="77777777" w:rsidR="00B063E7" w:rsidRPr="00B063E7" w:rsidRDefault="00B063E7" w:rsidP="00B063E7">
            <w:pPr>
              <w:spacing w:line="240" w:lineRule="atLeast"/>
              <w:ind w:left="45"/>
              <w:jc w:val="center"/>
              <w:rPr>
                <w:rFonts w:ascii="Arial" w:hAnsi="Arial" w:cs="Arial"/>
                <w:b/>
                <w:sz w:val="18"/>
                <w:szCs w:val="18"/>
              </w:rPr>
            </w:pPr>
            <w:r w:rsidRPr="00B063E7">
              <w:rPr>
                <w:rFonts w:ascii="Arial" w:hAnsi="Arial" w:cs="Arial"/>
                <w:b/>
                <w:sz w:val="18"/>
                <w:szCs w:val="18"/>
              </w:rPr>
              <w:lastRenderedPageBreak/>
              <w:t>q3</w:t>
            </w:r>
          </w:p>
        </w:tc>
        <w:tc>
          <w:tcPr>
            <w:tcW w:w="546" w:type="dxa"/>
            <w:tcBorders>
              <w:top w:val="single" w:sz="6" w:space="0" w:color="CBCBCB"/>
              <w:left w:val="single" w:sz="12"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3AF1C70C"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.300</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686DDD91"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.374</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59D9E515"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.271</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17363591" w14:textId="77777777" w:rsidR="00B063E7" w:rsidRPr="00F25A0F" w:rsidRDefault="00B063E7" w:rsidP="00F25A0F">
            <w:pPr>
              <w:spacing w:line="240" w:lineRule="atLeast"/>
              <w:ind w:left="45"/>
              <w:jc w:val="right"/>
              <w:rPr>
                <w:rFonts w:ascii="Arial" w:hAnsi="Arial" w:cs="Arial"/>
                <w:sz w:val="18"/>
                <w:szCs w:val="18"/>
              </w:rPr>
            </w:pPr>
            <w:r>
              <w:rPr>
                <w:rFonts w:ascii="Arial" w:hAnsi="Arial" w:cs="Arial"/>
                <w:sz w:val="18"/>
                <w:szCs w:val="18"/>
              </w:rPr>
              <w:t>1.00</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15B1B479" w14:textId="77777777" w:rsidR="00B063E7" w:rsidRPr="00F25A0F" w:rsidRDefault="00B063E7" w:rsidP="00F25A0F">
            <w:pPr>
              <w:spacing w:line="240" w:lineRule="atLeast"/>
              <w:ind w:left="45"/>
              <w:jc w:val="right"/>
              <w:rPr>
                <w:rFonts w:ascii="Arial" w:hAnsi="Arial" w:cs="Arial"/>
                <w:sz w:val="18"/>
                <w:szCs w:val="18"/>
              </w:rPr>
            </w:pP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5D6553A8" w14:textId="77777777" w:rsidR="00B063E7" w:rsidRPr="00F25A0F" w:rsidRDefault="00B063E7" w:rsidP="00F25A0F">
            <w:pPr>
              <w:spacing w:line="240" w:lineRule="atLeast"/>
              <w:ind w:left="45"/>
              <w:jc w:val="right"/>
              <w:rPr>
                <w:rFonts w:ascii="Arial" w:hAnsi="Arial" w:cs="Arial"/>
                <w:sz w:val="18"/>
                <w:szCs w:val="18"/>
              </w:rPr>
            </w:pP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13473BBC" w14:textId="77777777" w:rsidR="00B063E7" w:rsidRPr="00F25A0F" w:rsidRDefault="00B063E7" w:rsidP="00F25A0F">
            <w:pPr>
              <w:spacing w:line="240" w:lineRule="atLeast"/>
              <w:ind w:left="45"/>
              <w:jc w:val="right"/>
              <w:rPr>
                <w:rFonts w:ascii="Arial" w:hAnsi="Arial" w:cs="Arial"/>
                <w:sz w:val="18"/>
                <w:szCs w:val="18"/>
              </w:rPr>
            </w:pP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2ECB5DC2" w14:textId="77777777" w:rsidR="00B063E7" w:rsidRPr="00F25A0F" w:rsidRDefault="00B063E7" w:rsidP="00F25A0F">
            <w:pPr>
              <w:spacing w:line="240" w:lineRule="atLeast"/>
              <w:ind w:left="45"/>
              <w:jc w:val="right"/>
              <w:rPr>
                <w:rFonts w:ascii="Arial" w:hAnsi="Arial" w:cs="Arial"/>
                <w:sz w:val="18"/>
                <w:szCs w:val="18"/>
              </w:rPr>
            </w:pP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4AD8B9BC" w14:textId="77777777" w:rsidR="00B063E7" w:rsidRPr="00F25A0F" w:rsidRDefault="00B063E7" w:rsidP="00F25A0F">
            <w:pPr>
              <w:spacing w:line="240" w:lineRule="atLeast"/>
              <w:ind w:left="45"/>
              <w:jc w:val="right"/>
              <w:rPr>
                <w:rFonts w:ascii="Arial" w:hAnsi="Arial" w:cs="Arial"/>
                <w:sz w:val="18"/>
                <w:szCs w:val="18"/>
              </w:rPr>
            </w:pP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775A4E77" w14:textId="77777777" w:rsidR="00B063E7" w:rsidRPr="00F25A0F" w:rsidRDefault="00B063E7" w:rsidP="00F25A0F">
            <w:pPr>
              <w:spacing w:line="240" w:lineRule="atLeast"/>
              <w:ind w:left="45"/>
              <w:jc w:val="right"/>
              <w:rPr>
                <w:rFonts w:ascii="Arial" w:hAnsi="Arial" w:cs="Arial"/>
                <w:sz w:val="18"/>
                <w:szCs w:val="18"/>
              </w:rPr>
            </w:pP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5E811E05" w14:textId="77777777" w:rsidR="00B063E7" w:rsidRPr="00F25A0F" w:rsidRDefault="00B063E7" w:rsidP="00F25A0F">
            <w:pPr>
              <w:spacing w:line="240" w:lineRule="atLeast"/>
              <w:ind w:left="45"/>
              <w:jc w:val="right"/>
              <w:rPr>
                <w:rFonts w:ascii="Arial" w:hAnsi="Arial" w:cs="Arial"/>
                <w:sz w:val="18"/>
                <w:szCs w:val="18"/>
              </w:rPr>
            </w:pP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1A698A26" w14:textId="77777777" w:rsidR="00B063E7" w:rsidRPr="00F25A0F" w:rsidRDefault="00B063E7" w:rsidP="00F25A0F">
            <w:pPr>
              <w:spacing w:line="240" w:lineRule="atLeast"/>
              <w:ind w:left="45"/>
              <w:jc w:val="right"/>
              <w:rPr>
                <w:rFonts w:ascii="Arial" w:hAnsi="Arial" w:cs="Arial"/>
                <w:sz w:val="18"/>
                <w:szCs w:val="18"/>
              </w:rPr>
            </w:pP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5DE58F99" w14:textId="77777777" w:rsidR="00B063E7" w:rsidRPr="00F25A0F" w:rsidRDefault="00B063E7" w:rsidP="00F25A0F">
            <w:pPr>
              <w:spacing w:line="240" w:lineRule="atLeast"/>
              <w:ind w:left="45"/>
              <w:jc w:val="right"/>
              <w:rPr>
                <w:rFonts w:ascii="Arial" w:hAnsi="Arial" w:cs="Arial"/>
                <w:sz w:val="18"/>
                <w:szCs w:val="18"/>
              </w:rPr>
            </w:pPr>
          </w:p>
        </w:tc>
        <w:tc>
          <w:tcPr>
            <w:tcW w:w="546" w:type="dxa"/>
            <w:tcBorders>
              <w:top w:val="single" w:sz="6" w:space="0" w:color="CBCBCB"/>
              <w:left w:val="single" w:sz="6" w:space="0" w:color="000000"/>
              <w:bottom w:val="single" w:sz="6" w:space="0" w:color="CBCBCB"/>
              <w:right w:val="single" w:sz="12" w:space="0" w:color="000000"/>
            </w:tcBorders>
            <w:shd w:val="clear" w:color="auto" w:fill="FFFFFF"/>
            <w:tcMar>
              <w:top w:w="0" w:type="dxa"/>
              <w:left w:w="75" w:type="dxa"/>
              <w:bottom w:w="0" w:type="dxa"/>
              <w:right w:w="75" w:type="dxa"/>
            </w:tcMar>
            <w:vAlign w:val="center"/>
            <w:hideMark/>
          </w:tcPr>
          <w:p w14:paraId="4AC2B879" w14:textId="77777777" w:rsidR="00B063E7" w:rsidRPr="00F25A0F" w:rsidRDefault="00B063E7" w:rsidP="00F25A0F">
            <w:pPr>
              <w:spacing w:line="240" w:lineRule="atLeast"/>
              <w:ind w:left="45"/>
              <w:jc w:val="right"/>
              <w:rPr>
                <w:rFonts w:ascii="Arial" w:hAnsi="Arial" w:cs="Arial"/>
                <w:sz w:val="18"/>
                <w:szCs w:val="18"/>
              </w:rPr>
            </w:pPr>
          </w:p>
        </w:tc>
      </w:tr>
      <w:tr w:rsidR="00C71E0B" w:rsidRPr="00F25A0F" w14:paraId="34E9E6F0" w14:textId="77777777" w:rsidTr="00C71E0B">
        <w:trPr>
          <w:jc w:val="center"/>
        </w:trPr>
        <w:tc>
          <w:tcPr>
            <w:tcW w:w="516" w:type="dxa"/>
            <w:tcBorders>
              <w:top w:val="single" w:sz="6" w:space="0" w:color="CBCBCB"/>
              <w:left w:val="single" w:sz="12" w:space="0" w:color="000000"/>
              <w:bottom w:val="single" w:sz="6" w:space="0" w:color="CBCBCB"/>
              <w:right w:val="single" w:sz="12" w:space="0" w:color="000000"/>
            </w:tcBorders>
            <w:shd w:val="clear" w:color="auto" w:fill="FFFFFF"/>
            <w:tcMar>
              <w:top w:w="0" w:type="dxa"/>
              <w:left w:w="75" w:type="dxa"/>
              <w:bottom w:w="0" w:type="dxa"/>
              <w:right w:w="75" w:type="dxa"/>
            </w:tcMar>
            <w:hideMark/>
          </w:tcPr>
          <w:p w14:paraId="4BC7E683" w14:textId="77777777" w:rsidR="00B063E7" w:rsidRPr="00B063E7" w:rsidRDefault="00B063E7" w:rsidP="00B063E7">
            <w:pPr>
              <w:spacing w:line="240" w:lineRule="atLeast"/>
              <w:ind w:left="45"/>
              <w:jc w:val="center"/>
              <w:rPr>
                <w:rFonts w:ascii="Arial" w:hAnsi="Arial" w:cs="Arial"/>
                <w:b/>
                <w:sz w:val="18"/>
                <w:szCs w:val="18"/>
              </w:rPr>
            </w:pPr>
            <w:r w:rsidRPr="00B063E7">
              <w:rPr>
                <w:rFonts w:ascii="Arial" w:hAnsi="Arial" w:cs="Arial"/>
                <w:b/>
                <w:sz w:val="18"/>
                <w:szCs w:val="18"/>
              </w:rPr>
              <w:t>q3b</w:t>
            </w:r>
          </w:p>
        </w:tc>
        <w:tc>
          <w:tcPr>
            <w:tcW w:w="546" w:type="dxa"/>
            <w:tcBorders>
              <w:top w:val="single" w:sz="6" w:space="0" w:color="CBCBCB"/>
              <w:left w:val="single" w:sz="12"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4EE31A70"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.364</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797A1546"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.303</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5B8F0F6C"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.501</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1A4F78C7"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.610</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75D93C43" w14:textId="77777777" w:rsidR="00B063E7" w:rsidRPr="00F25A0F" w:rsidRDefault="00B063E7" w:rsidP="00F25A0F">
            <w:pPr>
              <w:spacing w:line="240" w:lineRule="atLeast"/>
              <w:ind w:left="45"/>
              <w:jc w:val="right"/>
              <w:rPr>
                <w:rFonts w:ascii="Arial" w:hAnsi="Arial" w:cs="Arial"/>
                <w:sz w:val="18"/>
                <w:szCs w:val="18"/>
              </w:rPr>
            </w:pPr>
            <w:r>
              <w:rPr>
                <w:rFonts w:ascii="Arial" w:hAnsi="Arial" w:cs="Arial"/>
                <w:sz w:val="18"/>
                <w:szCs w:val="18"/>
              </w:rPr>
              <w:t>1.00</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29E9CB9B" w14:textId="77777777" w:rsidR="00B063E7" w:rsidRPr="00F25A0F" w:rsidRDefault="00B063E7" w:rsidP="00F25A0F">
            <w:pPr>
              <w:spacing w:line="240" w:lineRule="atLeast"/>
              <w:ind w:left="45"/>
              <w:jc w:val="right"/>
              <w:rPr>
                <w:rFonts w:ascii="Arial" w:hAnsi="Arial" w:cs="Arial"/>
                <w:sz w:val="18"/>
                <w:szCs w:val="18"/>
              </w:rPr>
            </w:pP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0934B721" w14:textId="77777777" w:rsidR="00B063E7" w:rsidRPr="00F25A0F" w:rsidRDefault="00B063E7" w:rsidP="00F25A0F">
            <w:pPr>
              <w:spacing w:line="240" w:lineRule="atLeast"/>
              <w:ind w:left="45"/>
              <w:jc w:val="right"/>
              <w:rPr>
                <w:rFonts w:ascii="Arial" w:hAnsi="Arial" w:cs="Arial"/>
                <w:sz w:val="18"/>
                <w:szCs w:val="18"/>
              </w:rPr>
            </w:pP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46621AD8" w14:textId="77777777" w:rsidR="00B063E7" w:rsidRPr="00F25A0F" w:rsidRDefault="00B063E7" w:rsidP="00F25A0F">
            <w:pPr>
              <w:spacing w:line="240" w:lineRule="atLeast"/>
              <w:ind w:left="45"/>
              <w:jc w:val="right"/>
              <w:rPr>
                <w:rFonts w:ascii="Arial" w:hAnsi="Arial" w:cs="Arial"/>
                <w:sz w:val="18"/>
                <w:szCs w:val="18"/>
              </w:rPr>
            </w:pP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3CACB09A" w14:textId="77777777" w:rsidR="00B063E7" w:rsidRPr="00F25A0F" w:rsidRDefault="00B063E7" w:rsidP="00F25A0F">
            <w:pPr>
              <w:spacing w:line="240" w:lineRule="atLeast"/>
              <w:ind w:left="45"/>
              <w:jc w:val="right"/>
              <w:rPr>
                <w:rFonts w:ascii="Arial" w:hAnsi="Arial" w:cs="Arial"/>
                <w:sz w:val="18"/>
                <w:szCs w:val="18"/>
              </w:rPr>
            </w:pP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47FFDF82" w14:textId="77777777" w:rsidR="00B063E7" w:rsidRPr="00F25A0F" w:rsidRDefault="00B063E7" w:rsidP="00F25A0F">
            <w:pPr>
              <w:spacing w:line="240" w:lineRule="atLeast"/>
              <w:ind w:left="45"/>
              <w:jc w:val="right"/>
              <w:rPr>
                <w:rFonts w:ascii="Arial" w:hAnsi="Arial" w:cs="Arial"/>
                <w:sz w:val="18"/>
                <w:szCs w:val="18"/>
              </w:rPr>
            </w:pP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3E2E56B8" w14:textId="77777777" w:rsidR="00B063E7" w:rsidRPr="00F25A0F" w:rsidRDefault="00B063E7" w:rsidP="00F25A0F">
            <w:pPr>
              <w:spacing w:line="240" w:lineRule="atLeast"/>
              <w:ind w:left="45"/>
              <w:jc w:val="right"/>
              <w:rPr>
                <w:rFonts w:ascii="Arial" w:hAnsi="Arial" w:cs="Arial"/>
                <w:sz w:val="18"/>
                <w:szCs w:val="18"/>
              </w:rPr>
            </w:pP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12C1982E" w14:textId="77777777" w:rsidR="00B063E7" w:rsidRPr="00F25A0F" w:rsidRDefault="00B063E7" w:rsidP="00F25A0F">
            <w:pPr>
              <w:spacing w:line="240" w:lineRule="atLeast"/>
              <w:ind w:left="45"/>
              <w:jc w:val="right"/>
              <w:rPr>
                <w:rFonts w:ascii="Arial" w:hAnsi="Arial" w:cs="Arial"/>
                <w:sz w:val="18"/>
                <w:szCs w:val="18"/>
              </w:rPr>
            </w:pP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27F7CD31" w14:textId="77777777" w:rsidR="00B063E7" w:rsidRPr="00F25A0F" w:rsidRDefault="00B063E7" w:rsidP="00F25A0F">
            <w:pPr>
              <w:spacing w:line="240" w:lineRule="atLeast"/>
              <w:ind w:left="45"/>
              <w:jc w:val="right"/>
              <w:rPr>
                <w:rFonts w:ascii="Arial" w:hAnsi="Arial" w:cs="Arial"/>
                <w:sz w:val="18"/>
                <w:szCs w:val="18"/>
              </w:rPr>
            </w:pPr>
          </w:p>
        </w:tc>
        <w:tc>
          <w:tcPr>
            <w:tcW w:w="546" w:type="dxa"/>
            <w:tcBorders>
              <w:top w:val="single" w:sz="6" w:space="0" w:color="CBCBCB"/>
              <w:left w:val="single" w:sz="6" w:space="0" w:color="000000"/>
              <w:bottom w:val="single" w:sz="6" w:space="0" w:color="CBCBCB"/>
              <w:right w:val="single" w:sz="12" w:space="0" w:color="000000"/>
            </w:tcBorders>
            <w:shd w:val="clear" w:color="auto" w:fill="FFFFFF"/>
            <w:tcMar>
              <w:top w:w="0" w:type="dxa"/>
              <w:left w:w="75" w:type="dxa"/>
              <w:bottom w:w="0" w:type="dxa"/>
              <w:right w:w="75" w:type="dxa"/>
            </w:tcMar>
            <w:vAlign w:val="center"/>
            <w:hideMark/>
          </w:tcPr>
          <w:p w14:paraId="68879848" w14:textId="77777777" w:rsidR="00B063E7" w:rsidRPr="00F25A0F" w:rsidRDefault="00B063E7" w:rsidP="00F25A0F">
            <w:pPr>
              <w:spacing w:line="240" w:lineRule="atLeast"/>
              <w:ind w:left="45"/>
              <w:jc w:val="right"/>
              <w:rPr>
                <w:rFonts w:ascii="Arial" w:hAnsi="Arial" w:cs="Arial"/>
                <w:sz w:val="18"/>
                <w:szCs w:val="18"/>
              </w:rPr>
            </w:pPr>
          </w:p>
        </w:tc>
      </w:tr>
      <w:tr w:rsidR="00C71E0B" w:rsidRPr="00F25A0F" w14:paraId="054BDE83" w14:textId="77777777" w:rsidTr="00C71E0B">
        <w:trPr>
          <w:jc w:val="center"/>
        </w:trPr>
        <w:tc>
          <w:tcPr>
            <w:tcW w:w="516" w:type="dxa"/>
            <w:tcBorders>
              <w:top w:val="single" w:sz="6" w:space="0" w:color="CBCBCB"/>
              <w:left w:val="single" w:sz="12" w:space="0" w:color="000000"/>
              <w:bottom w:val="single" w:sz="6" w:space="0" w:color="CBCBCB"/>
              <w:right w:val="single" w:sz="12" w:space="0" w:color="000000"/>
            </w:tcBorders>
            <w:shd w:val="clear" w:color="auto" w:fill="FFFFFF"/>
            <w:tcMar>
              <w:top w:w="0" w:type="dxa"/>
              <w:left w:w="75" w:type="dxa"/>
              <w:bottom w:w="0" w:type="dxa"/>
              <w:right w:w="75" w:type="dxa"/>
            </w:tcMar>
            <w:hideMark/>
          </w:tcPr>
          <w:p w14:paraId="0C4D446E" w14:textId="77777777" w:rsidR="00B063E7" w:rsidRPr="00B063E7" w:rsidRDefault="00B063E7" w:rsidP="00B063E7">
            <w:pPr>
              <w:spacing w:line="240" w:lineRule="atLeast"/>
              <w:ind w:left="45"/>
              <w:jc w:val="center"/>
              <w:rPr>
                <w:rFonts w:ascii="Arial" w:hAnsi="Arial" w:cs="Arial"/>
                <w:b/>
                <w:sz w:val="18"/>
                <w:szCs w:val="18"/>
              </w:rPr>
            </w:pPr>
            <w:r w:rsidRPr="00B063E7">
              <w:rPr>
                <w:rFonts w:ascii="Arial" w:hAnsi="Arial" w:cs="Arial"/>
                <w:b/>
                <w:sz w:val="18"/>
                <w:szCs w:val="18"/>
              </w:rPr>
              <w:t>q4</w:t>
            </w:r>
          </w:p>
        </w:tc>
        <w:tc>
          <w:tcPr>
            <w:tcW w:w="546" w:type="dxa"/>
            <w:tcBorders>
              <w:top w:val="single" w:sz="6" w:space="0" w:color="CBCBCB"/>
              <w:left w:val="single" w:sz="12"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0B46EF21"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.350</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3B507D2F"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.390</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19DF56C2"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.366</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28100C6C"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.517</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0AB94AB4"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.359</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0173891A" w14:textId="77777777" w:rsidR="00B063E7" w:rsidRPr="00F25A0F" w:rsidRDefault="00B063E7" w:rsidP="00F25A0F">
            <w:pPr>
              <w:spacing w:line="240" w:lineRule="atLeast"/>
              <w:ind w:left="45"/>
              <w:jc w:val="right"/>
              <w:rPr>
                <w:rFonts w:ascii="Arial" w:hAnsi="Arial" w:cs="Arial"/>
                <w:sz w:val="18"/>
                <w:szCs w:val="18"/>
              </w:rPr>
            </w:pPr>
            <w:r>
              <w:rPr>
                <w:rFonts w:ascii="Arial" w:hAnsi="Arial" w:cs="Arial"/>
                <w:sz w:val="18"/>
                <w:szCs w:val="18"/>
              </w:rPr>
              <w:t>1.00</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485F5647" w14:textId="77777777" w:rsidR="00B063E7" w:rsidRPr="00F25A0F" w:rsidRDefault="00B063E7" w:rsidP="00F25A0F">
            <w:pPr>
              <w:spacing w:line="240" w:lineRule="atLeast"/>
              <w:ind w:left="45"/>
              <w:jc w:val="right"/>
              <w:rPr>
                <w:rFonts w:ascii="Arial" w:hAnsi="Arial" w:cs="Arial"/>
                <w:sz w:val="18"/>
                <w:szCs w:val="18"/>
              </w:rPr>
            </w:pP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0C7DC59A" w14:textId="77777777" w:rsidR="00B063E7" w:rsidRPr="00F25A0F" w:rsidRDefault="00B063E7" w:rsidP="00F25A0F">
            <w:pPr>
              <w:spacing w:line="240" w:lineRule="atLeast"/>
              <w:ind w:left="45"/>
              <w:jc w:val="right"/>
              <w:rPr>
                <w:rFonts w:ascii="Arial" w:hAnsi="Arial" w:cs="Arial"/>
                <w:sz w:val="18"/>
                <w:szCs w:val="18"/>
              </w:rPr>
            </w:pP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501261C9" w14:textId="77777777" w:rsidR="00B063E7" w:rsidRPr="00F25A0F" w:rsidRDefault="00B063E7" w:rsidP="00F25A0F">
            <w:pPr>
              <w:spacing w:line="240" w:lineRule="atLeast"/>
              <w:ind w:left="45"/>
              <w:jc w:val="right"/>
              <w:rPr>
                <w:rFonts w:ascii="Arial" w:hAnsi="Arial" w:cs="Arial"/>
                <w:sz w:val="18"/>
                <w:szCs w:val="18"/>
              </w:rPr>
            </w:pP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6C3E48BD" w14:textId="77777777" w:rsidR="00B063E7" w:rsidRPr="00F25A0F" w:rsidRDefault="00B063E7" w:rsidP="00F25A0F">
            <w:pPr>
              <w:spacing w:line="240" w:lineRule="atLeast"/>
              <w:ind w:left="45"/>
              <w:jc w:val="right"/>
              <w:rPr>
                <w:rFonts w:ascii="Arial" w:hAnsi="Arial" w:cs="Arial"/>
                <w:sz w:val="18"/>
                <w:szCs w:val="18"/>
              </w:rPr>
            </w:pP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2C796A01" w14:textId="77777777" w:rsidR="00B063E7" w:rsidRPr="00F25A0F" w:rsidRDefault="00B063E7" w:rsidP="00F25A0F">
            <w:pPr>
              <w:spacing w:line="240" w:lineRule="atLeast"/>
              <w:ind w:left="45"/>
              <w:jc w:val="right"/>
              <w:rPr>
                <w:rFonts w:ascii="Arial" w:hAnsi="Arial" w:cs="Arial"/>
                <w:sz w:val="18"/>
                <w:szCs w:val="18"/>
              </w:rPr>
            </w:pP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48E47F34" w14:textId="77777777" w:rsidR="00B063E7" w:rsidRPr="00F25A0F" w:rsidRDefault="00B063E7" w:rsidP="00F25A0F">
            <w:pPr>
              <w:spacing w:line="240" w:lineRule="atLeast"/>
              <w:ind w:left="45"/>
              <w:jc w:val="right"/>
              <w:rPr>
                <w:rFonts w:ascii="Arial" w:hAnsi="Arial" w:cs="Arial"/>
                <w:sz w:val="18"/>
                <w:szCs w:val="18"/>
              </w:rPr>
            </w:pP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00F0DBBD" w14:textId="77777777" w:rsidR="00B063E7" w:rsidRPr="00F25A0F" w:rsidRDefault="00B063E7" w:rsidP="00F25A0F">
            <w:pPr>
              <w:spacing w:line="240" w:lineRule="atLeast"/>
              <w:ind w:left="45"/>
              <w:jc w:val="right"/>
              <w:rPr>
                <w:rFonts w:ascii="Arial" w:hAnsi="Arial" w:cs="Arial"/>
                <w:sz w:val="18"/>
                <w:szCs w:val="18"/>
              </w:rPr>
            </w:pPr>
          </w:p>
        </w:tc>
        <w:tc>
          <w:tcPr>
            <w:tcW w:w="546" w:type="dxa"/>
            <w:tcBorders>
              <w:top w:val="single" w:sz="6" w:space="0" w:color="CBCBCB"/>
              <w:left w:val="single" w:sz="6" w:space="0" w:color="000000"/>
              <w:bottom w:val="single" w:sz="6" w:space="0" w:color="CBCBCB"/>
              <w:right w:val="single" w:sz="12" w:space="0" w:color="000000"/>
            </w:tcBorders>
            <w:shd w:val="clear" w:color="auto" w:fill="FFFFFF"/>
            <w:tcMar>
              <w:top w:w="0" w:type="dxa"/>
              <w:left w:w="75" w:type="dxa"/>
              <w:bottom w:w="0" w:type="dxa"/>
              <w:right w:w="75" w:type="dxa"/>
            </w:tcMar>
            <w:vAlign w:val="center"/>
            <w:hideMark/>
          </w:tcPr>
          <w:p w14:paraId="332AA014" w14:textId="77777777" w:rsidR="00B063E7" w:rsidRPr="00F25A0F" w:rsidRDefault="00B063E7" w:rsidP="00F25A0F">
            <w:pPr>
              <w:spacing w:line="240" w:lineRule="atLeast"/>
              <w:ind w:left="45"/>
              <w:jc w:val="right"/>
              <w:rPr>
                <w:rFonts w:ascii="Arial" w:hAnsi="Arial" w:cs="Arial"/>
                <w:sz w:val="18"/>
                <w:szCs w:val="18"/>
              </w:rPr>
            </w:pPr>
          </w:p>
        </w:tc>
      </w:tr>
      <w:tr w:rsidR="00C71E0B" w:rsidRPr="00F25A0F" w14:paraId="1427E146" w14:textId="77777777" w:rsidTr="00C71E0B">
        <w:trPr>
          <w:jc w:val="center"/>
        </w:trPr>
        <w:tc>
          <w:tcPr>
            <w:tcW w:w="516" w:type="dxa"/>
            <w:tcBorders>
              <w:top w:val="single" w:sz="6" w:space="0" w:color="CBCBCB"/>
              <w:left w:val="single" w:sz="12" w:space="0" w:color="000000"/>
              <w:bottom w:val="single" w:sz="6" w:space="0" w:color="CBCBCB"/>
              <w:right w:val="single" w:sz="12" w:space="0" w:color="000000"/>
            </w:tcBorders>
            <w:shd w:val="clear" w:color="auto" w:fill="FFFFFF"/>
            <w:tcMar>
              <w:top w:w="0" w:type="dxa"/>
              <w:left w:w="75" w:type="dxa"/>
              <w:bottom w:w="0" w:type="dxa"/>
              <w:right w:w="75" w:type="dxa"/>
            </w:tcMar>
            <w:hideMark/>
          </w:tcPr>
          <w:p w14:paraId="4AA3EBE4" w14:textId="77777777" w:rsidR="00B063E7" w:rsidRPr="00B063E7" w:rsidRDefault="00B063E7" w:rsidP="00B063E7">
            <w:pPr>
              <w:spacing w:line="240" w:lineRule="atLeast"/>
              <w:ind w:left="45"/>
              <w:jc w:val="center"/>
              <w:rPr>
                <w:rFonts w:ascii="Arial" w:hAnsi="Arial" w:cs="Arial"/>
                <w:b/>
                <w:sz w:val="18"/>
                <w:szCs w:val="18"/>
              </w:rPr>
            </w:pPr>
            <w:r w:rsidRPr="00B063E7">
              <w:rPr>
                <w:rFonts w:ascii="Arial" w:hAnsi="Arial" w:cs="Arial"/>
                <w:b/>
                <w:sz w:val="18"/>
                <w:szCs w:val="18"/>
              </w:rPr>
              <w:t>q4b</w:t>
            </w:r>
          </w:p>
        </w:tc>
        <w:tc>
          <w:tcPr>
            <w:tcW w:w="546" w:type="dxa"/>
            <w:tcBorders>
              <w:top w:val="single" w:sz="6" w:space="0" w:color="CBCBCB"/>
              <w:left w:val="single" w:sz="12"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0D9D770A"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.364</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6CEC7753"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.313</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46AA89F0"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.494</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177A8D7D"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.364</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5392AAF5"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.495</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3CB55BD6"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.638</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1490EAA0" w14:textId="77777777" w:rsidR="00B063E7" w:rsidRPr="00F25A0F" w:rsidRDefault="00B063E7" w:rsidP="00F25A0F">
            <w:pPr>
              <w:spacing w:line="240" w:lineRule="atLeast"/>
              <w:ind w:left="45"/>
              <w:jc w:val="right"/>
              <w:rPr>
                <w:rFonts w:ascii="Arial" w:hAnsi="Arial" w:cs="Arial"/>
                <w:sz w:val="18"/>
                <w:szCs w:val="18"/>
              </w:rPr>
            </w:pPr>
            <w:r>
              <w:rPr>
                <w:rFonts w:ascii="Arial" w:hAnsi="Arial" w:cs="Arial"/>
                <w:sz w:val="18"/>
                <w:szCs w:val="18"/>
              </w:rPr>
              <w:t>1.00</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1685B35A" w14:textId="77777777" w:rsidR="00B063E7" w:rsidRPr="00F25A0F" w:rsidRDefault="00B063E7" w:rsidP="00F25A0F">
            <w:pPr>
              <w:spacing w:line="240" w:lineRule="atLeast"/>
              <w:ind w:left="45"/>
              <w:jc w:val="right"/>
              <w:rPr>
                <w:rFonts w:ascii="Arial" w:hAnsi="Arial" w:cs="Arial"/>
                <w:sz w:val="18"/>
                <w:szCs w:val="18"/>
              </w:rPr>
            </w:pP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223E3227" w14:textId="77777777" w:rsidR="00B063E7" w:rsidRPr="00F25A0F" w:rsidRDefault="00B063E7" w:rsidP="00F25A0F">
            <w:pPr>
              <w:spacing w:line="240" w:lineRule="atLeast"/>
              <w:ind w:left="45"/>
              <w:jc w:val="right"/>
              <w:rPr>
                <w:rFonts w:ascii="Arial" w:hAnsi="Arial" w:cs="Arial"/>
                <w:sz w:val="18"/>
                <w:szCs w:val="18"/>
              </w:rPr>
            </w:pP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4716CD52" w14:textId="77777777" w:rsidR="00B063E7" w:rsidRPr="00F25A0F" w:rsidRDefault="00B063E7" w:rsidP="00F25A0F">
            <w:pPr>
              <w:spacing w:line="240" w:lineRule="atLeast"/>
              <w:ind w:left="45"/>
              <w:jc w:val="right"/>
              <w:rPr>
                <w:rFonts w:ascii="Arial" w:hAnsi="Arial" w:cs="Arial"/>
                <w:sz w:val="18"/>
                <w:szCs w:val="18"/>
              </w:rPr>
            </w:pP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50CFA3BF" w14:textId="77777777" w:rsidR="00B063E7" w:rsidRPr="00F25A0F" w:rsidRDefault="00B063E7" w:rsidP="00F25A0F">
            <w:pPr>
              <w:spacing w:line="240" w:lineRule="atLeast"/>
              <w:ind w:left="45"/>
              <w:jc w:val="right"/>
              <w:rPr>
                <w:rFonts w:ascii="Arial" w:hAnsi="Arial" w:cs="Arial"/>
                <w:sz w:val="18"/>
                <w:szCs w:val="18"/>
              </w:rPr>
            </w:pP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48C9B1E0" w14:textId="77777777" w:rsidR="00B063E7" w:rsidRPr="00F25A0F" w:rsidRDefault="00B063E7" w:rsidP="00F25A0F">
            <w:pPr>
              <w:spacing w:line="240" w:lineRule="atLeast"/>
              <w:ind w:left="45"/>
              <w:jc w:val="right"/>
              <w:rPr>
                <w:rFonts w:ascii="Arial" w:hAnsi="Arial" w:cs="Arial"/>
                <w:sz w:val="18"/>
                <w:szCs w:val="18"/>
              </w:rPr>
            </w:pP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7CB9AFE5" w14:textId="77777777" w:rsidR="00B063E7" w:rsidRPr="00F25A0F" w:rsidRDefault="00B063E7" w:rsidP="00F25A0F">
            <w:pPr>
              <w:spacing w:line="240" w:lineRule="atLeast"/>
              <w:ind w:left="45"/>
              <w:jc w:val="right"/>
              <w:rPr>
                <w:rFonts w:ascii="Arial" w:hAnsi="Arial" w:cs="Arial"/>
                <w:sz w:val="18"/>
                <w:szCs w:val="18"/>
              </w:rPr>
            </w:pPr>
          </w:p>
        </w:tc>
        <w:tc>
          <w:tcPr>
            <w:tcW w:w="546" w:type="dxa"/>
            <w:tcBorders>
              <w:top w:val="single" w:sz="6" w:space="0" w:color="CBCBCB"/>
              <w:left w:val="single" w:sz="6" w:space="0" w:color="000000"/>
              <w:bottom w:val="single" w:sz="6" w:space="0" w:color="CBCBCB"/>
              <w:right w:val="single" w:sz="12" w:space="0" w:color="000000"/>
            </w:tcBorders>
            <w:shd w:val="clear" w:color="auto" w:fill="FFFFFF"/>
            <w:tcMar>
              <w:top w:w="0" w:type="dxa"/>
              <w:left w:w="75" w:type="dxa"/>
              <w:bottom w:w="0" w:type="dxa"/>
              <w:right w:w="75" w:type="dxa"/>
            </w:tcMar>
            <w:vAlign w:val="center"/>
            <w:hideMark/>
          </w:tcPr>
          <w:p w14:paraId="7A9DD601" w14:textId="77777777" w:rsidR="00B063E7" w:rsidRPr="00F25A0F" w:rsidRDefault="00B063E7" w:rsidP="00F25A0F">
            <w:pPr>
              <w:spacing w:line="240" w:lineRule="atLeast"/>
              <w:ind w:left="45"/>
              <w:jc w:val="right"/>
              <w:rPr>
                <w:rFonts w:ascii="Arial" w:hAnsi="Arial" w:cs="Arial"/>
                <w:sz w:val="18"/>
                <w:szCs w:val="18"/>
              </w:rPr>
            </w:pPr>
          </w:p>
        </w:tc>
      </w:tr>
      <w:tr w:rsidR="00C71E0B" w:rsidRPr="00F25A0F" w14:paraId="2944ACCD" w14:textId="77777777" w:rsidTr="00C71E0B">
        <w:trPr>
          <w:jc w:val="center"/>
        </w:trPr>
        <w:tc>
          <w:tcPr>
            <w:tcW w:w="516" w:type="dxa"/>
            <w:tcBorders>
              <w:top w:val="single" w:sz="6" w:space="0" w:color="CBCBCB"/>
              <w:left w:val="single" w:sz="12" w:space="0" w:color="000000"/>
              <w:bottom w:val="single" w:sz="6" w:space="0" w:color="CBCBCB"/>
              <w:right w:val="single" w:sz="12" w:space="0" w:color="000000"/>
            </w:tcBorders>
            <w:shd w:val="clear" w:color="auto" w:fill="FFFFFF"/>
            <w:tcMar>
              <w:top w:w="0" w:type="dxa"/>
              <w:left w:w="75" w:type="dxa"/>
              <w:bottom w:w="0" w:type="dxa"/>
              <w:right w:w="75" w:type="dxa"/>
            </w:tcMar>
            <w:hideMark/>
          </w:tcPr>
          <w:p w14:paraId="58F9E61D" w14:textId="77777777" w:rsidR="00B063E7" w:rsidRPr="00B063E7" w:rsidRDefault="00B063E7" w:rsidP="00B063E7">
            <w:pPr>
              <w:spacing w:line="240" w:lineRule="atLeast"/>
              <w:ind w:left="45"/>
              <w:jc w:val="center"/>
              <w:rPr>
                <w:rFonts w:ascii="Arial" w:hAnsi="Arial" w:cs="Arial"/>
                <w:b/>
                <w:sz w:val="18"/>
                <w:szCs w:val="18"/>
              </w:rPr>
            </w:pPr>
            <w:r w:rsidRPr="00B063E7">
              <w:rPr>
                <w:rFonts w:ascii="Arial" w:hAnsi="Arial" w:cs="Arial"/>
                <w:b/>
                <w:sz w:val="18"/>
                <w:szCs w:val="18"/>
              </w:rPr>
              <w:t>q5</w:t>
            </w:r>
          </w:p>
        </w:tc>
        <w:tc>
          <w:tcPr>
            <w:tcW w:w="546" w:type="dxa"/>
            <w:tcBorders>
              <w:top w:val="single" w:sz="6" w:space="0" w:color="CBCBCB"/>
              <w:left w:val="single" w:sz="12"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05FDBC68"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.542</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72319B66"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.325</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74238C0A"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.390</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12C062BB"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.302</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79986696"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.348</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66A493B5"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.301</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52C37379"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.325</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2F31D84D" w14:textId="77777777" w:rsidR="00B063E7" w:rsidRPr="00F25A0F" w:rsidRDefault="00B063E7" w:rsidP="00F25A0F">
            <w:pPr>
              <w:spacing w:line="240" w:lineRule="atLeast"/>
              <w:ind w:left="45"/>
              <w:jc w:val="right"/>
              <w:rPr>
                <w:rFonts w:ascii="Arial" w:hAnsi="Arial" w:cs="Arial"/>
                <w:sz w:val="18"/>
                <w:szCs w:val="18"/>
              </w:rPr>
            </w:pPr>
            <w:r>
              <w:rPr>
                <w:rFonts w:ascii="Arial" w:hAnsi="Arial" w:cs="Arial"/>
                <w:sz w:val="18"/>
                <w:szCs w:val="18"/>
              </w:rPr>
              <w:t>1.00</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2643D8AB" w14:textId="77777777" w:rsidR="00B063E7" w:rsidRPr="00F25A0F" w:rsidRDefault="00B063E7" w:rsidP="00F25A0F">
            <w:pPr>
              <w:spacing w:line="240" w:lineRule="atLeast"/>
              <w:ind w:left="45"/>
              <w:jc w:val="right"/>
              <w:rPr>
                <w:rFonts w:ascii="Arial" w:hAnsi="Arial" w:cs="Arial"/>
                <w:sz w:val="18"/>
                <w:szCs w:val="18"/>
              </w:rPr>
            </w:pP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13DBD1AB" w14:textId="77777777" w:rsidR="00B063E7" w:rsidRPr="00F25A0F" w:rsidRDefault="00B063E7" w:rsidP="00F25A0F">
            <w:pPr>
              <w:spacing w:line="240" w:lineRule="atLeast"/>
              <w:ind w:left="45"/>
              <w:jc w:val="right"/>
              <w:rPr>
                <w:rFonts w:ascii="Arial" w:hAnsi="Arial" w:cs="Arial"/>
                <w:sz w:val="18"/>
                <w:szCs w:val="18"/>
              </w:rPr>
            </w:pP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730753C7" w14:textId="77777777" w:rsidR="00B063E7" w:rsidRPr="00F25A0F" w:rsidRDefault="00B063E7" w:rsidP="00F25A0F">
            <w:pPr>
              <w:spacing w:line="240" w:lineRule="atLeast"/>
              <w:ind w:left="45"/>
              <w:jc w:val="right"/>
              <w:rPr>
                <w:rFonts w:ascii="Arial" w:hAnsi="Arial" w:cs="Arial"/>
                <w:sz w:val="18"/>
                <w:szCs w:val="18"/>
              </w:rPr>
            </w:pP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7B25DE25" w14:textId="77777777" w:rsidR="00B063E7" w:rsidRPr="00F25A0F" w:rsidRDefault="00B063E7" w:rsidP="00F25A0F">
            <w:pPr>
              <w:spacing w:line="240" w:lineRule="atLeast"/>
              <w:ind w:left="45"/>
              <w:jc w:val="right"/>
              <w:rPr>
                <w:rFonts w:ascii="Arial" w:hAnsi="Arial" w:cs="Arial"/>
                <w:sz w:val="18"/>
                <w:szCs w:val="18"/>
              </w:rPr>
            </w:pP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76C81E29" w14:textId="77777777" w:rsidR="00B063E7" w:rsidRPr="00F25A0F" w:rsidRDefault="00B063E7" w:rsidP="00F25A0F">
            <w:pPr>
              <w:spacing w:line="240" w:lineRule="atLeast"/>
              <w:ind w:left="45"/>
              <w:jc w:val="right"/>
              <w:rPr>
                <w:rFonts w:ascii="Arial" w:hAnsi="Arial" w:cs="Arial"/>
                <w:sz w:val="18"/>
                <w:szCs w:val="18"/>
              </w:rPr>
            </w:pPr>
          </w:p>
        </w:tc>
        <w:tc>
          <w:tcPr>
            <w:tcW w:w="546" w:type="dxa"/>
            <w:tcBorders>
              <w:top w:val="single" w:sz="6" w:space="0" w:color="CBCBCB"/>
              <w:left w:val="single" w:sz="6" w:space="0" w:color="000000"/>
              <w:bottom w:val="single" w:sz="6" w:space="0" w:color="CBCBCB"/>
              <w:right w:val="single" w:sz="12" w:space="0" w:color="000000"/>
            </w:tcBorders>
            <w:shd w:val="clear" w:color="auto" w:fill="FFFFFF"/>
            <w:tcMar>
              <w:top w:w="0" w:type="dxa"/>
              <w:left w:w="75" w:type="dxa"/>
              <w:bottom w:w="0" w:type="dxa"/>
              <w:right w:w="75" w:type="dxa"/>
            </w:tcMar>
            <w:vAlign w:val="center"/>
            <w:hideMark/>
          </w:tcPr>
          <w:p w14:paraId="7639FA4F" w14:textId="77777777" w:rsidR="00B063E7" w:rsidRPr="00F25A0F" w:rsidRDefault="00B063E7" w:rsidP="00F25A0F">
            <w:pPr>
              <w:spacing w:line="240" w:lineRule="atLeast"/>
              <w:ind w:left="45"/>
              <w:jc w:val="right"/>
              <w:rPr>
                <w:rFonts w:ascii="Arial" w:hAnsi="Arial" w:cs="Arial"/>
                <w:sz w:val="18"/>
                <w:szCs w:val="18"/>
              </w:rPr>
            </w:pPr>
          </w:p>
        </w:tc>
      </w:tr>
      <w:tr w:rsidR="00C71E0B" w:rsidRPr="00F25A0F" w14:paraId="75883548" w14:textId="77777777" w:rsidTr="00C71E0B">
        <w:trPr>
          <w:trHeight w:val="264"/>
          <w:jc w:val="center"/>
        </w:trPr>
        <w:tc>
          <w:tcPr>
            <w:tcW w:w="516" w:type="dxa"/>
            <w:tcBorders>
              <w:top w:val="single" w:sz="6" w:space="0" w:color="CBCBCB"/>
              <w:left w:val="single" w:sz="12" w:space="0" w:color="000000"/>
              <w:bottom w:val="single" w:sz="6" w:space="0" w:color="CBCBCB"/>
              <w:right w:val="single" w:sz="12" w:space="0" w:color="000000"/>
            </w:tcBorders>
            <w:shd w:val="clear" w:color="auto" w:fill="FFFFFF"/>
            <w:tcMar>
              <w:top w:w="0" w:type="dxa"/>
              <w:left w:w="75" w:type="dxa"/>
              <w:bottom w:w="0" w:type="dxa"/>
              <w:right w:w="75" w:type="dxa"/>
            </w:tcMar>
            <w:hideMark/>
          </w:tcPr>
          <w:p w14:paraId="4AA5F0F1" w14:textId="77777777" w:rsidR="00B063E7" w:rsidRPr="00B063E7" w:rsidRDefault="00B063E7" w:rsidP="00B063E7">
            <w:pPr>
              <w:spacing w:line="240" w:lineRule="atLeast"/>
              <w:ind w:left="45"/>
              <w:jc w:val="center"/>
              <w:rPr>
                <w:rFonts w:ascii="Arial" w:hAnsi="Arial" w:cs="Arial"/>
                <w:b/>
                <w:sz w:val="18"/>
                <w:szCs w:val="18"/>
              </w:rPr>
            </w:pPr>
            <w:r w:rsidRPr="00B063E7">
              <w:rPr>
                <w:rFonts w:ascii="Arial" w:hAnsi="Arial" w:cs="Arial"/>
                <w:b/>
                <w:sz w:val="18"/>
                <w:szCs w:val="18"/>
              </w:rPr>
              <w:t>q5b</w:t>
            </w:r>
          </w:p>
        </w:tc>
        <w:tc>
          <w:tcPr>
            <w:tcW w:w="546" w:type="dxa"/>
            <w:tcBorders>
              <w:top w:val="single" w:sz="6" w:space="0" w:color="CBCBCB"/>
              <w:left w:val="single" w:sz="12"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5B19176E"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.496</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6CA4B48B"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.289</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05AF33AF"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.417</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2D5E655E"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.334</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196381BF"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.441</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19753183"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.273</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3FF9401D"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.386</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581D63FD"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.776</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7A91B760" w14:textId="77777777" w:rsidR="00B063E7" w:rsidRPr="00F25A0F" w:rsidRDefault="00B063E7" w:rsidP="00F25A0F">
            <w:pPr>
              <w:spacing w:line="240" w:lineRule="atLeast"/>
              <w:ind w:left="45"/>
              <w:jc w:val="right"/>
              <w:rPr>
                <w:rFonts w:ascii="Arial" w:hAnsi="Arial" w:cs="Arial"/>
                <w:sz w:val="18"/>
                <w:szCs w:val="18"/>
              </w:rPr>
            </w:pPr>
            <w:r>
              <w:rPr>
                <w:rFonts w:ascii="Arial" w:hAnsi="Arial" w:cs="Arial"/>
                <w:sz w:val="18"/>
                <w:szCs w:val="18"/>
              </w:rPr>
              <w:t>1.00</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4334CF3E" w14:textId="77777777" w:rsidR="00B063E7" w:rsidRPr="00F25A0F" w:rsidRDefault="00B063E7" w:rsidP="00F25A0F">
            <w:pPr>
              <w:spacing w:line="240" w:lineRule="atLeast"/>
              <w:ind w:left="45"/>
              <w:jc w:val="right"/>
              <w:rPr>
                <w:rFonts w:ascii="Arial" w:hAnsi="Arial" w:cs="Arial"/>
                <w:sz w:val="18"/>
                <w:szCs w:val="18"/>
              </w:rPr>
            </w:pP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5BFF509E" w14:textId="77777777" w:rsidR="00B063E7" w:rsidRPr="00F25A0F" w:rsidRDefault="00B063E7" w:rsidP="00F25A0F">
            <w:pPr>
              <w:spacing w:line="240" w:lineRule="atLeast"/>
              <w:ind w:left="45"/>
              <w:jc w:val="right"/>
              <w:rPr>
                <w:rFonts w:ascii="Arial" w:hAnsi="Arial" w:cs="Arial"/>
                <w:sz w:val="18"/>
                <w:szCs w:val="18"/>
              </w:rPr>
            </w:pP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6CC4A818" w14:textId="77777777" w:rsidR="00B063E7" w:rsidRPr="00F25A0F" w:rsidRDefault="00B063E7" w:rsidP="00F25A0F">
            <w:pPr>
              <w:spacing w:line="240" w:lineRule="atLeast"/>
              <w:ind w:left="45"/>
              <w:jc w:val="right"/>
              <w:rPr>
                <w:rFonts w:ascii="Arial" w:hAnsi="Arial" w:cs="Arial"/>
                <w:sz w:val="18"/>
                <w:szCs w:val="18"/>
              </w:rPr>
            </w:pP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4F7193BC" w14:textId="77777777" w:rsidR="00B063E7" w:rsidRPr="00F25A0F" w:rsidRDefault="00B063E7" w:rsidP="00F25A0F">
            <w:pPr>
              <w:spacing w:line="240" w:lineRule="atLeast"/>
              <w:ind w:left="45"/>
              <w:jc w:val="right"/>
              <w:rPr>
                <w:rFonts w:ascii="Arial" w:hAnsi="Arial" w:cs="Arial"/>
                <w:sz w:val="18"/>
                <w:szCs w:val="18"/>
              </w:rPr>
            </w:pPr>
          </w:p>
        </w:tc>
        <w:tc>
          <w:tcPr>
            <w:tcW w:w="546" w:type="dxa"/>
            <w:tcBorders>
              <w:top w:val="single" w:sz="6" w:space="0" w:color="CBCBCB"/>
              <w:left w:val="single" w:sz="6" w:space="0" w:color="000000"/>
              <w:bottom w:val="single" w:sz="6" w:space="0" w:color="CBCBCB"/>
              <w:right w:val="single" w:sz="12" w:space="0" w:color="000000"/>
            </w:tcBorders>
            <w:shd w:val="clear" w:color="auto" w:fill="FFFFFF"/>
            <w:tcMar>
              <w:top w:w="0" w:type="dxa"/>
              <w:left w:w="75" w:type="dxa"/>
              <w:bottom w:w="0" w:type="dxa"/>
              <w:right w:w="75" w:type="dxa"/>
            </w:tcMar>
            <w:vAlign w:val="center"/>
            <w:hideMark/>
          </w:tcPr>
          <w:p w14:paraId="533D663E" w14:textId="77777777" w:rsidR="00B063E7" w:rsidRPr="00F25A0F" w:rsidRDefault="00B063E7" w:rsidP="00F25A0F">
            <w:pPr>
              <w:spacing w:line="240" w:lineRule="atLeast"/>
              <w:ind w:left="45"/>
              <w:jc w:val="right"/>
              <w:rPr>
                <w:rFonts w:ascii="Arial" w:hAnsi="Arial" w:cs="Arial"/>
                <w:sz w:val="18"/>
                <w:szCs w:val="18"/>
              </w:rPr>
            </w:pPr>
          </w:p>
        </w:tc>
      </w:tr>
      <w:tr w:rsidR="00C71E0B" w:rsidRPr="00F25A0F" w14:paraId="757C917D" w14:textId="77777777" w:rsidTr="00C71E0B">
        <w:trPr>
          <w:jc w:val="center"/>
        </w:trPr>
        <w:tc>
          <w:tcPr>
            <w:tcW w:w="516" w:type="dxa"/>
            <w:tcBorders>
              <w:top w:val="single" w:sz="6" w:space="0" w:color="CBCBCB"/>
              <w:left w:val="single" w:sz="12" w:space="0" w:color="000000"/>
              <w:bottom w:val="single" w:sz="6" w:space="0" w:color="CBCBCB"/>
              <w:right w:val="single" w:sz="12" w:space="0" w:color="000000"/>
            </w:tcBorders>
            <w:shd w:val="clear" w:color="auto" w:fill="FFFFFF"/>
            <w:tcMar>
              <w:top w:w="0" w:type="dxa"/>
              <w:left w:w="75" w:type="dxa"/>
              <w:bottom w:w="0" w:type="dxa"/>
              <w:right w:w="75" w:type="dxa"/>
            </w:tcMar>
            <w:hideMark/>
          </w:tcPr>
          <w:p w14:paraId="0571066B" w14:textId="77777777" w:rsidR="00B063E7" w:rsidRPr="00B063E7" w:rsidRDefault="00B063E7" w:rsidP="00B063E7">
            <w:pPr>
              <w:spacing w:line="240" w:lineRule="atLeast"/>
              <w:ind w:left="45"/>
              <w:jc w:val="center"/>
              <w:rPr>
                <w:rFonts w:ascii="Arial" w:hAnsi="Arial" w:cs="Arial"/>
                <w:b/>
                <w:sz w:val="18"/>
                <w:szCs w:val="18"/>
              </w:rPr>
            </w:pPr>
            <w:r w:rsidRPr="00B063E7">
              <w:rPr>
                <w:rFonts w:ascii="Arial" w:hAnsi="Arial" w:cs="Arial"/>
                <w:b/>
                <w:sz w:val="18"/>
                <w:szCs w:val="18"/>
              </w:rPr>
              <w:t>q6</w:t>
            </w:r>
          </w:p>
        </w:tc>
        <w:tc>
          <w:tcPr>
            <w:tcW w:w="546" w:type="dxa"/>
            <w:tcBorders>
              <w:top w:val="single" w:sz="6" w:space="0" w:color="CBCBCB"/>
              <w:left w:val="single" w:sz="12"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5C0FE2B4"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.400</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6878F731"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.316</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03B010E9"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.366</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148562A9"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.286</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5C26A0B8"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.409</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50F09CF1"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.306</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39C1AB2F"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.382</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55D0F78D"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.344</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4CB5AF05"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.314</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710821A3" w14:textId="77777777" w:rsidR="00B063E7" w:rsidRPr="00F25A0F" w:rsidRDefault="00B063E7" w:rsidP="00F25A0F">
            <w:pPr>
              <w:spacing w:line="240" w:lineRule="atLeast"/>
              <w:ind w:left="45"/>
              <w:jc w:val="right"/>
              <w:rPr>
                <w:rFonts w:ascii="Arial" w:hAnsi="Arial" w:cs="Arial"/>
                <w:sz w:val="18"/>
                <w:szCs w:val="18"/>
              </w:rPr>
            </w:pPr>
            <w:r>
              <w:rPr>
                <w:rFonts w:ascii="Arial" w:hAnsi="Arial" w:cs="Arial"/>
                <w:sz w:val="18"/>
                <w:szCs w:val="18"/>
              </w:rPr>
              <w:t>1.00</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5FFF6DB6" w14:textId="77777777" w:rsidR="00B063E7" w:rsidRPr="00F25A0F" w:rsidRDefault="00B063E7" w:rsidP="00F25A0F">
            <w:pPr>
              <w:spacing w:line="240" w:lineRule="atLeast"/>
              <w:ind w:left="45"/>
              <w:jc w:val="right"/>
              <w:rPr>
                <w:rFonts w:ascii="Arial" w:hAnsi="Arial" w:cs="Arial"/>
                <w:sz w:val="18"/>
                <w:szCs w:val="18"/>
              </w:rPr>
            </w:pP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6520D6ED" w14:textId="77777777" w:rsidR="00B063E7" w:rsidRPr="00F25A0F" w:rsidRDefault="00B063E7" w:rsidP="00F25A0F">
            <w:pPr>
              <w:spacing w:line="240" w:lineRule="atLeast"/>
              <w:ind w:left="45"/>
              <w:jc w:val="right"/>
              <w:rPr>
                <w:rFonts w:ascii="Arial" w:hAnsi="Arial" w:cs="Arial"/>
                <w:sz w:val="18"/>
                <w:szCs w:val="18"/>
              </w:rPr>
            </w:pP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37E22CF2" w14:textId="77777777" w:rsidR="00B063E7" w:rsidRPr="00F25A0F" w:rsidRDefault="00B063E7" w:rsidP="00F25A0F">
            <w:pPr>
              <w:spacing w:line="240" w:lineRule="atLeast"/>
              <w:ind w:left="45"/>
              <w:jc w:val="right"/>
              <w:rPr>
                <w:rFonts w:ascii="Arial" w:hAnsi="Arial" w:cs="Arial"/>
                <w:sz w:val="18"/>
                <w:szCs w:val="18"/>
              </w:rPr>
            </w:pPr>
          </w:p>
        </w:tc>
        <w:tc>
          <w:tcPr>
            <w:tcW w:w="546" w:type="dxa"/>
            <w:tcBorders>
              <w:top w:val="single" w:sz="6" w:space="0" w:color="CBCBCB"/>
              <w:left w:val="single" w:sz="6" w:space="0" w:color="000000"/>
              <w:bottom w:val="single" w:sz="6" w:space="0" w:color="CBCBCB"/>
              <w:right w:val="single" w:sz="12" w:space="0" w:color="000000"/>
            </w:tcBorders>
            <w:shd w:val="clear" w:color="auto" w:fill="FFFFFF"/>
            <w:tcMar>
              <w:top w:w="0" w:type="dxa"/>
              <w:left w:w="75" w:type="dxa"/>
              <w:bottom w:w="0" w:type="dxa"/>
              <w:right w:w="75" w:type="dxa"/>
            </w:tcMar>
            <w:vAlign w:val="center"/>
            <w:hideMark/>
          </w:tcPr>
          <w:p w14:paraId="7AE31A80" w14:textId="77777777" w:rsidR="00B063E7" w:rsidRPr="00F25A0F" w:rsidRDefault="00B063E7" w:rsidP="00F25A0F">
            <w:pPr>
              <w:spacing w:line="240" w:lineRule="atLeast"/>
              <w:ind w:left="45"/>
              <w:jc w:val="right"/>
              <w:rPr>
                <w:rFonts w:ascii="Arial" w:hAnsi="Arial" w:cs="Arial"/>
                <w:sz w:val="18"/>
                <w:szCs w:val="18"/>
              </w:rPr>
            </w:pPr>
          </w:p>
        </w:tc>
      </w:tr>
      <w:tr w:rsidR="00C71E0B" w:rsidRPr="00F25A0F" w14:paraId="1FEE5D2E" w14:textId="77777777" w:rsidTr="00C71E0B">
        <w:trPr>
          <w:jc w:val="center"/>
        </w:trPr>
        <w:tc>
          <w:tcPr>
            <w:tcW w:w="516" w:type="dxa"/>
            <w:tcBorders>
              <w:top w:val="single" w:sz="6" w:space="0" w:color="CBCBCB"/>
              <w:left w:val="single" w:sz="12" w:space="0" w:color="000000"/>
              <w:bottom w:val="single" w:sz="6" w:space="0" w:color="CBCBCB"/>
              <w:right w:val="single" w:sz="12" w:space="0" w:color="000000"/>
            </w:tcBorders>
            <w:shd w:val="clear" w:color="auto" w:fill="FFFFFF"/>
            <w:tcMar>
              <w:top w:w="0" w:type="dxa"/>
              <w:left w:w="75" w:type="dxa"/>
              <w:bottom w:w="0" w:type="dxa"/>
              <w:right w:w="75" w:type="dxa"/>
            </w:tcMar>
            <w:hideMark/>
          </w:tcPr>
          <w:p w14:paraId="46E66551" w14:textId="77777777" w:rsidR="00B063E7" w:rsidRPr="00B063E7" w:rsidRDefault="00B063E7" w:rsidP="00B063E7">
            <w:pPr>
              <w:spacing w:line="240" w:lineRule="atLeast"/>
              <w:ind w:left="45"/>
              <w:jc w:val="center"/>
              <w:rPr>
                <w:rFonts w:ascii="Arial" w:hAnsi="Arial" w:cs="Arial"/>
                <w:b/>
                <w:sz w:val="18"/>
                <w:szCs w:val="18"/>
              </w:rPr>
            </w:pPr>
            <w:r w:rsidRPr="00B063E7">
              <w:rPr>
                <w:rFonts w:ascii="Arial" w:hAnsi="Arial" w:cs="Arial"/>
                <w:b/>
                <w:sz w:val="18"/>
                <w:szCs w:val="18"/>
              </w:rPr>
              <w:t>q7</w:t>
            </w:r>
          </w:p>
        </w:tc>
        <w:tc>
          <w:tcPr>
            <w:tcW w:w="546" w:type="dxa"/>
            <w:tcBorders>
              <w:top w:val="single" w:sz="6" w:space="0" w:color="CBCBCB"/>
              <w:left w:val="single" w:sz="12"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0FC9A67A"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.363</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460445D3"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.314</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2CF78FA3"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.327</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304E2DD8"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.205</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424171D7"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.266</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63B90BB0"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.231</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4D023CD2"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.224</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69E434FB"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.419</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72D16237"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.388</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65B1BA6F"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.335</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6E4A283C" w14:textId="77777777" w:rsidR="00B063E7" w:rsidRPr="00F25A0F" w:rsidRDefault="00B063E7" w:rsidP="00F25A0F">
            <w:pPr>
              <w:spacing w:line="240" w:lineRule="atLeast"/>
              <w:ind w:left="45"/>
              <w:jc w:val="right"/>
              <w:rPr>
                <w:rFonts w:ascii="Arial" w:hAnsi="Arial" w:cs="Arial"/>
                <w:sz w:val="18"/>
                <w:szCs w:val="18"/>
              </w:rPr>
            </w:pPr>
            <w:r>
              <w:rPr>
                <w:rFonts w:ascii="Arial" w:hAnsi="Arial" w:cs="Arial"/>
                <w:sz w:val="18"/>
                <w:szCs w:val="18"/>
              </w:rPr>
              <w:t>1.00</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2DF685ED" w14:textId="77777777" w:rsidR="00B063E7" w:rsidRPr="00F25A0F" w:rsidRDefault="00B063E7" w:rsidP="00F25A0F">
            <w:pPr>
              <w:spacing w:line="240" w:lineRule="atLeast"/>
              <w:ind w:left="45"/>
              <w:jc w:val="right"/>
              <w:rPr>
                <w:rFonts w:ascii="Arial" w:hAnsi="Arial" w:cs="Arial"/>
                <w:sz w:val="18"/>
                <w:szCs w:val="18"/>
              </w:rPr>
            </w:pP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657C9FF3" w14:textId="77777777" w:rsidR="00B063E7" w:rsidRPr="00F25A0F" w:rsidRDefault="00B063E7" w:rsidP="00F25A0F">
            <w:pPr>
              <w:spacing w:line="240" w:lineRule="atLeast"/>
              <w:ind w:left="45"/>
              <w:jc w:val="right"/>
              <w:rPr>
                <w:rFonts w:ascii="Arial" w:hAnsi="Arial" w:cs="Arial"/>
                <w:sz w:val="18"/>
                <w:szCs w:val="18"/>
              </w:rPr>
            </w:pPr>
          </w:p>
        </w:tc>
        <w:tc>
          <w:tcPr>
            <w:tcW w:w="546" w:type="dxa"/>
            <w:tcBorders>
              <w:top w:val="single" w:sz="6" w:space="0" w:color="CBCBCB"/>
              <w:left w:val="single" w:sz="6" w:space="0" w:color="000000"/>
              <w:bottom w:val="single" w:sz="6" w:space="0" w:color="CBCBCB"/>
              <w:right w:val="single" w:sz="12" w:space="0" w:color="000000"/>
            </w:tcBorders>
            <w:shd w:val="clear" w:color="auto" w:fill="FFFFFF"/>
            <w:tcMar>
              <w:top w:w="0" w:type="dxa"/>
              <w:left w:w="75" w:type="dxa"/>
              <w:bottom w:w="0" w:type="dxa"/>
              <w:right w:w="75" w:type="dxa"/>
            </w:tcMar>
            <w:vAlign w:val="center"/>
            <w:hideMark/>
          </w:tcPr>
          <w:p w14:paraId="791118B9" w14:textId="77777777" w:rsidR="00B063E7" w:rsidRPr="00F25A0F" w:rsidRDefault="00B063E7" w:rsidP="00F25A0F">
            <w:pPr>
              <w:spacing w:line="240" w:lineRule="atLeast"/>
              <w:ind w:left="45"/>
              <w:jc w:val="right"/>
              <w:rPr>
                <w:rFonts w:ascii="Arial" w:hAnsi="Arial" w:cs="Arial"/>
                <w:sz w:val="18"/>
                <w:szCs w:val="18"/>
              </w:rPr>
            </w:pPr>
          </w:p>
        </w:tc>
      </w:tr>
      <w:tr w:rsidR="00C71E0B" w:rsidRPr="00F25A0F" w14:paraId="2030E6FB" w14:textId="77777777" w:rsidTr="00C71E0B">
        <w:trPr>
          <w:jc w:val="center"/>
        </w:trPr>
        <w:tc>
          <w:tcPr>
            <w:tcW w:w="516" w:type="dxa"/>
            <w:tcBorders>
              <w:top w:val="single" w:sz="6" w:space="0" w:color="CBCBCB"/>
              <w:left w:val="single" w:sz="12" w:space="0" w:color="000000"/>
              <w:bottom w:val="single" w:sz="6" w:space="0" w:color="CBCBCB"/>
              <w:right w:val="single" w:sz="12" w:space="0" w:color="000000"/>
            </w:tcBorders>
            <w:shd w:val="clear" w:color="auto" w:fill="FFFFFF"/>
            <w:tcMar>
              <w:top w:w="0" w:type="dxa"/>
              <w:left w:w="75" w:type="dxa"/>
              <w:bottom w:w="0" w:type="dxa"/>
              <w:right w:w="75" w:type="dxa"/>
            </w:tcMar>
            <w:hideMark/>
          </w:tcPr>
          <w:p w14:paraId="16797DD0" w14:textId="77777777" w:rsidR="00B063E7" w:rsidRPr="00B063E7" w:rsidRDefault="00B063E7" w:rsidP="00B063E7">
            <w:pPr>
              <w:spacing w:line="240" w:lineRule="atLeast"/>
              <w:ind w:left="45"/>
              <w:jc w:val="center"/>
              <w:rPr>
                <w:rFonts w:ascii="Arial" w:hAnsi="Arial" w:cs="Arial"/>
                <w:b/>
                <w:sz w:val="18"/>
                <w:szCs w:val="18"/>
              </w:rPr>
            </w:pPr>
            <w:r w:rsidRPr="00B063E7">
              <w:rPr>
                <w:rFonts w:ascii="Arial" w:hAnsi="Arial" w:cs="Arial"/>
                <w:b/>
                <w:sz w:val="18"/>
                <w:szCs w:val="18"/>
              </w:rPr>
              <w:t>q8</w:t>
            </w:r>
          </w:p>
        </w:tc>
        <w:tc>
          <w:tcPr>
            <w:tcW w:w="546" w:type="dxa"/>
            <w:tcBorders>
              <w:top w:val="single" w:sz="6" w:space="0" w:color="CBCBCB"/>
              <w:left w:val="single" w:sz="12"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4DDC4EB5"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.298</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17C44DCC"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.244</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60E94EFE"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.312</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718855D7"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.246</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165204B5"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.273</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638B40EF"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.241</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7046FEF7"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.267</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6EB04A61"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.403</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7C2266CB"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.296</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4ECE67D1"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.293</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5F719052"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.295</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22BA7A00" w14:textId="77777777" w:rsidR="00B063E7" w:rsidRPr="00F25A0F" w:rsidRDefault="00B063E7" w:rsidP="00F25A0F">
            <w:pPr>
              <w:spacing w:line="240" w:lineRule="atLeast"/>
              <w:ind w:left="45"/>
              <w:jc w:val="right"/>
              <w:rPr>
                <w:rFonts w:ascii="Arial" w:hAnsi="Arial" w:cs="Arial"/>
                <w:sz w:val="18"/>
                <w:szCs w:val="18"/>
              </w:rPr>
            </w:pPr>
            <w:r>
              <w:rPr>
                <w:rFonts w:ascii="Arial" w:hAnsi="Arial" w:cs="Arial"/>
                <w:sz w:val="18"/>
                <w:szCs w:val="18"/>
              </w:rPr>
              <w:t>1.00</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66E70E2A" w14:textId="77777777" w:rsidR="00B063E7" w:rsidRPr="00F25A0F" w:rsidRDefault="00B063E7" w:rsidP="00F25A0F">
            <w:pPr>
              <w:spacing w:line="240" w:lineRule="atLeast"/>
              <w:ind w:left="45"/>
              <w:jc w:val="right"/>
              <w:rPr>
                <w:rFonts w:ascii="Arial" w:hAnsi="Arial" w:cs="Arial"/>
                <w:sz w:val="18"/>
                <w:szCs w:val="18"/>
              </w:rPr>
            </w:pPr>
          </w:p>
        </w:tc>
        <w:tc>
          <w:tcPr>
            <w:tcW w:w="546" w:type="dxa"/>
            <w:tcBorders>
              <w:top w:val="single" w:sz="6" w:space="0" w:color="CBCBCB"/>
              <w:left w:val="single" w:sz="6" w:space="0" w:color="000000"/>
              <w:bottom w:val="single" w:sz="6" w:space="0" w:color="CBCBCB"/>
              <w:right w:val="single" w:sz="12" w:space="0" w:color="000000"/>
            </w:tcBorders>
            <w:shd w:val="clear" w:color="auto" w:fill="FFFFFF"/>
            <w:tcMar>
              <w:top w:w="0" w:type="dxa"/>
              <w:left w:w="75" w:type="dxa"/>
              <w:bottom w:w="0" w:type="dxa"/>
              <w:right w:w="75" w:type="dxa"/>
            </w:tcMar>
            <w:vAlign w:val="center"/>
            <w:hideMark/>
          </w:tcPr>
          <w:p w14:paraId="49175BFD" w14:textId="77777777" w:rsidR="00B063E7" w:rsidRPr="00F25A0F" w:rsidRDefault="00B063E7" w:rsidP="00F25A0F">
            <w:pPr>
              <w:spacing w:line="240" w:lineRule="atLeast"/>
              <w:ind w:left="45"/>
              <w:jc w:val="right"/>
              <w:rPr>
                <w:rFonts w:ascii="Arial" w:hAnsi="Arial" w:cs="Arial"/>
                <w:sz w:val="18"/>
                <w:szCs w:val="18"/>
              </w:rPr>
            </w:pPr>
          </w:p>
        </w:tc>
      </w:tr>
      <w:tr w:rsidR="00C71E0B" w:rsidRPr="00F25A0F" w14:paraId="74776CF3" w14:textId="77777777" w:rsidTr="00C71E0B">
        <w:trPr>
          <w:jc w:val="center"/>
        </w:trPr>
        <w:tc>
          <w:tcPr>
            <w:tcW w:w="516" w:type="dxa"/>
            <w:tcBorders>
              <w:top w:val="single" w:sz="6" w:space="0" w:color="CBCBCB"/>
              <w:left w:val="single" w:sz="12" w:space="0" w:color="000000"/>
              <w:bottom w:val="single" w:sz="6" w:space="0" w:color="CBCBCB"/>
              <w:right w:val="single" w:sz="12" w:space="0" w:color="000000"/>
            </w:tcBorders>
            <w:shd w:val="clear" w:color="auto" w:fill="FFFFFF"/>
            <w:tcMar>
              <w:top w:w="0" w:type="dxa"/>
              <w:left w:w="75" w:type="dxa"/>
              <w:bottom w:w="0" w:type="dxa"/>
              <w:right w:w="75" w:type="dxa"/>
            </w:tcMar>
            <w:hideMark/>
          </w:tcPr>
          <w:p w14:paraId="0F19FE82" w14:textId="77777777" w:rsidR="00B063E7" w:rsidRPr="00B063E7" w:rsidRDefault="00B063E7" w:rsidP="00B063E7">
            <w:pPr>
              <w:spacing w:line="240" w:lineRule="atLeast"/>
              <w:ind w:left="45"/>
              <w:jc w:val="center"/>
              <w:rPr>
                <w:rFonts w:ascii="Arial" w:hAnsi="Arial" w:cs="Arial"/>
                <w:b/>
                <w:sz w:val="18"/>
                <w:szCs w:val="18"/>
              </w:rPr>
            </w:pPr>
            <w:r w:rsidRPr="00B063E7">
              <w:rPr>
                <w:rFonts w:ascii="Arial" w:hAnsi="Arial" w:cs="Arial"/>
                <w:b/>
                <w:sz w:val="18"/>
                <w:szCs w:val="18"/>
              </w:rPr>
              <w:t>q9</w:t>
            </w:r>
          </w:p>
        </w:tc>
        <w:tc>
          <w:tcPr>
            <w:tcW w:w="546" w:type="dxa"/>
            <w:tcBorders>
              <w:top w:val="single" w:sz="6" w:space="0" w:color="CBCBCB"/>
              <w:left w:val="single" w:sz="12"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7345741A"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.160</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4A83F019"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.131</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429EC33A"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.089</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5FB4613C"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.148</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26031A7B"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.145</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601BB8CC"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.129</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228D5B54"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.155</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23F56A9A"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.135</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19075B8E"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.177</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4A50269C"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.132</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7FE60835"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.158</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36D5DBC8"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.185</w:t>
            </w:r>
          </w:p>
        </w:tc>
        <w:tc>
          <w:tcPr>
            <w:tcW w:w="54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455D4B51" w14:textId="77777777" w:rsidR="00B063E7" w:rsidRPr="00F25A0F" w:rsidRDefault="00B063E7" w:rsidP="00F25A0F">
            <w:pPr>
              <w:spacing w:line="240" w:lineRule="atLeast"/>
              <w:ind w:left="45"/>
              <w:jc w:val="right"/>
              <w:rPr>
                <w:rFonts w:ascii="Arial" w:hAnsi="Arial" w:cs="Arial"/>
                <w:sz w:val="18"/>
                <w:szCs w:val="18"/>
              </w:rPr>
            </w:pPr>
            <w:r>
              <w:rPr>
                <w:rFonts w:ascii="Arial" w:hAnsi="Arial" w:cs="Arial"/>
                <w:sz w:val="18"/>
                <w:szCs w:val="18"/>
              </w:rPr>
              <w:t>1.00</w:t>
            </w:r>
          </w:p>
        </w:tc>
        <w:tc>
          <w:tcPr>
            <w:tcW w:w="546" w:type="dxa"/>
            <w:tcBorders>
              <w:top w:val="single" w:sz="6" w:space="0" w:color="CBCBCB"/>
              <w:left w:val="single" w:sz="6" w:space="0" w:color="000000"/>
              <w:bottom w:val="single" w:sz="6" w:space="0" w:color="CBCBCB"/>
              <w:right w:val="single" w:sz="12" w:space="0" w:color="000000"/>
            </w:tcBorders>
            <w:shd w:val="clear" w:color="auto" w:fill="FFFFFF"/>
            <w:tcMar>
              <w:top w:w="0" w:type="dxa"/>
              <w:left w:w="75" w:type="dxa"/>
              <w:bottom w:w="0" w:type="dxa"/>
              <w:right w:w="75" w:type="dxa"/>
            </w:tcMar>
            <w:vAlign w:val="center"/>
            <w:hideMark/>
          </w:tcPr>
          <w:p w14:paraId="271F3D17" w14:textId="77777777" w:rsidR="00B063E7" w:rsidRPr="00F25A0F" w:rsidRDefault="00B063E7" w:rsidP="00F25A0F">
            <w:pPr>
              <w:spacing w:line="240" w:lineRule="atLeast"/>
              <w:ind w:left="45"/>
              <w:jc w:val="right"/>
              <w:rPr>
                <w:rFonts w:ascii="Arial" w:hAnsi="Arial" w:cs="Arial"/>
                <w:sz w:val="18"/>
                <w:szCs w:val="18"/>
              </w:rPr>
            </w:pPr>
          </w:p>
        </w:tc>
      </w:tr>
      <w:tr w:rsidR="00C71E0B" w:rsidRPr="00F25A0F" w14:paraId="0C66AE17" w14:textId="77777777" w:rsidTr="00C71E0B">
        <w:trPr>
          <w:jc w:val="center"/>
        </w:trPr>
        <w:tc>
          <w:tcPr>
            <w:tcW w:w="516" w:type="dxa"/>
            <w:tcBorders>
              <w:top w:val="single" w:sz="6" w:space="0" w:color="CBCBCB"/>
              <w:left w:val="single" w:sz="12" w:space="0" w:color="000000"/>
              <w:bottom w:val="single" w:sz="12" w:space="0" w:color="000000"/>
              <w:right w:val="single" w:sz="12" w:space="0" w:color="000000"/>
            </w:tcBorders>
            <w:shd w:val="clear" w:color="auto" w:fill="FFFFFF"/>
            <w:tcMar>
              <w:top w:w="0" w:type="dxa"/>
              <w:left w:w="75" w:type="dxa"/>
              <w:bottom w:w="0" w:type="dxa"/>
              <w:right w:w="75" w:type="dxa"/>
            </w:tcMar>
            <w:hideMark/>
          </w:tcPr>
          <w:p w14:paraId="249B9F10" w14:textId="77777777" w:rsidR="00B063E7" w:rsidRPr="00B063E7" w:rsidRDefault="00B063E7" w:rsidP="00B063E7">
            <w:pPr>
              <w:spacing w:line="240" w:lineRule="atLeast"/>
              <w:ind w:left="45"/>
              <w:jc w:val="center"/>
              <w:rPr>
                <w:rFonts w:ascii="Arial" w:hAnsi="Arial" w:cs="Arial"/>
                <w:b/>
                <w:sz w:val="18"/>
                <w:szCs w:val="18"/>
              </w:rPr>
            </w:pPr>
            <w:r w:rsidRPr="00B063E7">
              <w:rPr>
                <w:rFonts w:ascii="Arial" w:hAnsi="Arial" w:cs="Arial"/>
                <w:b/>
                <w:sz w:val="18"/>
                <w:szCs w:val="18"/>
              </w:rPr>
              <w:t>q11</w:t>
            </w:r>
          </w:p>
        </w:tc>
        <w:tc>
          <w:tcPr>
            <w:tcW w:w="546" w:type="dxa"/>
            <w:tcBorders>
              <w:top w:val="single" w:sz="6" w:space="0" w:color="CBCBCB"/>
              <w:left w:val="single" w:sz="12" w:space="0" w:color="000000"/>
              <w:bottom w:val="single" w:sz="12" w:space="0" w:color="000000"/>
              <w:right w:val="single" w:sz="6" w:space="0" w:color="000000"/>
            </w:tcBorders>
            <w:shd w:val="clear" w:color="auto" w:fill="FFFFFF"/>
            <w:tcMar>
              <w:top w:w="0" w:type="dxa"/>
              <w:left w:w="75" w:type="dxa"/>
              <w:bottom w:w="0" w:type="dxa"/>
              <w:right w:w="75" w:type="dxa"/>
            </w:tcMar>
            <w:vAlign w:val="center"/>
            <w:hideMark/>
          </w:tcPr>
          <w:p w14:paraId="0131FB2A"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.621</w:t>
            </w:r>
          </w:p>
        </w:tc>
        <w:tc>
          <w:tcPr>
            <w:tcW w:w="546" w:type="dxa"/>
            <w:tcBorders>
              <w:top w:val="single" w:sz="6" w:space="0" w:color="CBCBCB"/>
              <w:left w:val="single" w:sz="6" w:space="0" w:color="000000"/>
              <w:bottom w:val="single" w:sz="12" w:space="0" w:color="000000"/>
              <w:right w:val="single" w:sz="6" w:space="0" w:color="000000"/>
            </w:tcBorders>
            <w:shd w:val="clear" w:color="auto" w:fill="FFFFFF"/>
            <w:tcMar>
              <w:top w:w="0" w:type="dxa"/>
              <w:left w:w="75" w:type="dxa"/>
              <w:bottom w:w="0" w:type="dxa"/>
              <w:right w:w="75" w:type="dxa"/>
            </w:tcMar>
            <w:vAlign w:val="center"/>
            <w:hideMark/>
          </w:tcPr>
          <w:p w14:paraId="757D1F45"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.501</w:t>
            </w:r>
          </w:p>
        </w:tc>
        <w:tc>
          <w:tcPr>
            <w:tcW w:w="546" w:type="dxa"/>
            <w:tcBorders>
              <w:top w:val="single" w:sz="6" w:space="0" w:color="CBCBCB"/>
              <w:left w:val="single" w:sz="6" w:space="0" w:color="000000"/>
              <w:bottom w:val="single" w:sz="12" w:space="0" w:color="000000"/>
              <w:right w:val="single" w:sz="6" w:space="0" w:color="000000"/>
            </w:tcBorders>
            <w:shd w:val="clear" w:color="auto" w:fill="FFFFFF"/>
            <w:tcMar>
              <w:top w:w="0" w:type="dxa"/>
              <w:left w:w="75" w:type="dxa"/>
              <w:bottom w:w="0" w:type="dxa"/>
              <w:right w:w="75" w:type="dxa"/>
            </w:tcMar>
            <w:vAlign w:val="center"/>
            <w:hideMark/>
          </w:tcPr>
          <w:p w14:paraId="5C258FEE"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.539</w:t>
            </w:r>
          </w:p>
        </w:tc>
        <w:tc>
          <w:tcPr>
            <w:tcW w:w="546" w:type="dxa"/>
            <w:tcBorders>
              <w:top w:val="single" w:sz="6" w:space="0" w:color="CBCBCB"/>
              <w:left w:val="single" w:sz="6" w:space="0" w:color="000000"/>
              <w:bottom w:val="single" w:sz="12" w:space="0" w:color="000000"/>
              <w:right w:val="single" w:sz="6" w:space="0" w:color="000000"/>
            </w:tcBorders>
            <w:shd w:val="clear" w:color="auto" w:fill="FFFFFF"/>
            <w:tcMar>
              <w:top w:w="0" w:type="dxa"/>
              <w:left w:w="75" w:type="dxa"/>
              <w:bottom w:w="0" w:type="dxa"/>
              <w:right w:w="75" w:type="dxa"/>
            </w:tcMar>
            <w:vAlign w:val="center"/>
            <w:hideMark/>
          </w:tcPr>
          <w:p w14:paraId="280F7833"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.338</w:t>
            </w:r>
          </w:p>
        </w:tc>
        <w:tc>
          <w:tcPr>
            <w:tcW w:w="546" w:type="dxa"/>
            <w:tcBorders>
              <w:top w:val="single" w:sz="6" w:space="0" w:color="CBCBCB"/>
              <w:left w:val="single" w:sz="6" w:space="0" w:color="000000"/>
              <w:bottom w:val="single" w:sz="12" w:space="0" w:color="000000"/>
              <w:right w:val="single" w:sz="6" w:space="0" w:color="000000"/>
            </w:tcBorders>
            <w:shd w:val="clear" w:color="auto" w:fill="FFFFFF"/>
            <w:tcMar>
              <w:top w:w="0" w:type="dxa"/>
              <w:left w:w="75" w:type="dxa"/>
              <w:bottom w:w="0" w:type="dxa"/>
              <w:right w:w="75" w:type="dxa"/>
            </w:tcMar>
            <w:vAlign w:val="center"/>
            <w:hideMark/>
          </w:tcPr>
          <w:p w14:paraId="74831517"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.459</w:t>
            </w:r>
          </w:p>
        </w:tc>
        <w:tc>
          <w:tcPr>
            <w:tcW w:w="546" w:type="dxa"/>
            <w:tcBorders>
              <w:top w:val="single" w:sz="6" w:space="0" w:color="CBCBCB"/>
              <w:left w:val="single" w:sz="6" w:space="0" w:color="000000"/>
              <w:bottom w:val="single" w:sz="12" w:space="0" w:color="000000"/>
              <w:right w:val="single" w:sz="6" w:space="0" w:color="000000"/>
            </w:tcBorders>
            <w:shd w:val="clear" w:color="auto" w:fill="FFFFFF"/>
            <w:tcMar>
              <w:top w:w="0" w:type="dxa"/>
              <w:left w:w="75" w:type="dxa"/>
              <w:bottom w:w="0" w:type="dxa"/>
              <w:right w:w="75" w:type="dxa"/>
            </w:tcMar>
            <w:vAlign w:val="center"/>
            <w:hideMark/>
          </w:tcPr>
          <w:p w14:paraId="63CD0804"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.367</w:t>
            </w:r>
          </w:p>
        </w:tc>
        <w:tc>
          <w:tcPr>
            <w:tcW w:w="546" w:type="dxa"/>
            <w:tcBorders>
              <w:top w:val="single" w:sz="6" w:space="0" w:color="CBCBCB"/>
              <w:left w:val="single" w:sz="6" w:space="0" w:color="000000"/>
              <w:bottom w:val="single" w:sz="12" w:space="0" w:color="000000"/>
              <w:right w:val="single" w:sz="6" w:space="0" w:color="000000"/>
            </w:tcBorders>
            <w:shd w:val="clear" w:color="auto" w:fill="FFFFFF"/>
            <w:tcMar>
              <w:top w:w="0" w:type="dxa"/>
              <w:left w:w="75" w:type="dxa"/>
              <w:bottom w:w="0" w:type="dxa"/>
              <w:right w:w="75" w:type="dxa"/>
            </w:tcMar>
            <w:vAlign w:val="center"/>
            <w:hideMark/>
          </w:tcPr>
          <w:p w14:paraId="4BB97A9D"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.436</w:t>
            </w:r>
          </w:p>
        </w:tc>
        <w:tc>
          <w:tcPr>
            <w:tcW w:w="546" w:type="dxa"/>
            <w:tcBorders>
              <w:top w:val="single" w:sz="6" w:space="0" w:color="CBCBCB"/>
              <w:left w:val="single" w:sz="6" w:space="0" w:color="000000"/>
              <w:bottom w:val="single" w:sz="12" w:space="0" w:color="000000"/>
              <w:right w:val="single" w:sz="6" w:space="0" w:color="000000"/>
            </w:tcBorders>
            <w:shd w:val="clear" w:color="auto" w:fill="FFFFFF"/>
            <w:tcMar>
              <w:top w:w="0" w:type="dxa"/>
              <w:left w:w="75" w:type="dxa"/>
              <w:bottom w:w="0" w:type="dxa"/>
              <w:right w:w="75" w:type="dxa"/>
            </w:tcMar>
            <w:vAlign w:val="center"/>
            <w:hideMark/>
          </w:tcPr>
          <w:p w14:paraId="25A1A7DD"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.540</w:t>
            </w:r>
          </w:p>
        </w:tc>
        <w:tc>
          <w:tcPr>
            <w:tcW w:w="546" w:type="dxa"/>
            <w:tcBorders>
              <w:top w:val="single" w:sz="6" w:space="0" w:color="CBCBCB"/>
              <w:left w:val="single" w:sz="6" w:space="0" w:color="000000"/>
              <w:bottom w:val="single" w:sz="12" w:space="0" w:color="000000"/>
              <w:right w:val="single" w:sz="6" w:space="0" w:color="000000"/>
            </w:tcBorders>
            <w:shd w:val="clear" w:color="auto" w:fill="FFFFFF"/>
            <w:tcMar>
              <w:top w:w="0" w:type="dxa"/>
              <w:left w:w="75" w:type="dxa"/>
              <w:bottom w:w="0" w:type="dxa"/>
              <w:right w:w="75" w:type="dxa"/>
            </w:tcMar>
            <w:vAlign w:val="center"/>
            <w:hideMark/>
          </w:tcPr>
          <w:p w14:paraId="45B1800F"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.549</w:t>
            </w:r>
          </w:p>
        </w:tc>
        <w:tc>
          <w:tcPr>
            <w:tcW w:w="546" w:type="dxa"/>
            <w:tcBorders>
              <w:top w:val="single" w:sz="6" w:space="0" w:color="CBCBCB"/>
              <w:left w:val="single" w:sz="6" w:space="0" w:color="000000"/>
              <w:bottom w:val="single" w:sz="12" w:space="0" w:color="000000"/>
              <w:right w:val="single" w:sz="6" w:space="0" w:color="000000"/>
            </w:tcBorders>
            <w:shd w:val="clear" w:color="auto" w:fill="FFFFFF"/>
            <w:tcMar>
              <w:top w:w="0" w:type="dxa"/>
              <w:left w:w="75" w:type="dxa"/>
              <w:bottom w:w="0" w:type="dxa"/>
              <w:right w:w="75" w:type="dxa"/>
            </w:tcMar>
            <w:vAlign w:val="center"/>
            <w:hideMark/>
          </w:tcPr>
          <w:p w14:paraId="458A90D2"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.476</w:t>
            </w:r>
          </w:p>
        </w:tc>
        <w:tc>
          <w:tcPr>
            <w:tcW w:w="546" w:type="dxa"/>
            <w:tcBorders>
              <w:top w:val="single" w:sz="6" w:space="0" w:color="CBCBCB"/>
              <w:left w:val="single" w:sz="6" w:space="0" w:color="000000"/>
              <w:bottom w:val="single" w:sz="12" w:space="0" w:color="000000"/>
              <w:right w:val="single" w:sz="6" w:space="0" w:color="000000"/>
            </w:tcBorders>
            <w:shd w:val="clear" w:color="auto" w:fill="FFFFFF"/>
            <w:tcMar>
              <w:top w:w="0" w:type="dxa"/>
              <w:left w:w="75" w:type="dxa"/>
              <w:bottom w:w="0" w:type="dxa"/>
              <w:right w:w="75" w:type="dxa"/>
            </w:tcMar>
            <w:vAlign w:val="center"/>
            <w:hideMark/>
          </w:tcPr>
          <w:p w14:paraId="6FE2AC2A"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.447</w:t>
            </w:r>
          </w:p>
        </w:tc>
        <w:tc>
          <w:tcPr>
            <w:tcW w:w="546" w:type="dxa"/>
            <w:tcBorders>
              <w:top w:val="single" w:sz="6" w:space="0" w:color="CBCBCB"/>
              <w:left w:val="single" w:sz="6" w:space="0" w:color="000000"/>
              <w:bottom w:val="single" w:sz="12" w:space="0" w:color="000000"/>
              <w:right w:val="single" w:sz="6" w:space="0" w:color="000000"/>
            </w:tcBorders>
            <w:shd w:val="clear" w:color="auto" w:fill="FFFFFF"/>
            <w:tcMar>
              <w:top w:w="0" w:type="dxa"/>
              <w:left w:w="75" w:type="dxa"/>
              <w:bottom w:w="0" w:type="dxa"/>
              <w:right w:w="75" w:type="dxa"/>
            </w:tcMar>
            <w:vAlign w:val="center"/>
            <w:hideMark/>
          </w:tcPr>
          <w:p w14:paraId="65F3CC54"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.323</w:t>
            </w:r>
          </w:p>
        </w:tc>
        <w:tc>
          <w:tcPr>
            <w:tcW w:w="546" w:type="dxa"/>
            <w:tcBorders>
              <w:top w:val="single" w:sz="6" w:space="0" w:color="CBCBCB"/>
              <w:left w:val="single" w:sz="6" w:space="0" w:color="000000"/>
              <w:bottom w:val="single" w:sz="12" w:space="0" w:color="000000"/>
              <w:right w:val="single" w:sz="6" w:space="0" w:color="000000"/>
            </w:tcBorders>
            <w:shd w:val="clear" w:color="auto" w:fill="FFFFFF"/>
            <w:tcMar>
              <w:top w:w="0" w:type="dxa"/>
              <w:left w:w="75" w:type="dxa"/>
              <w:bottom w:w="0" w:type="dxa"/>
              <w:right w:w="75" w:type="dxa"/>
            </w:tcMar>
            <w:vAlign w:val="center"/>
            <w:hideMark/>
          </w:tcPr>
          <w:p w14:paraId="54F2A322" w14:textId="77777777" w:rsidR="00B063E7" w:rsidRPr="00F25A0F" w:rsidRDefault="00B063E7" w:rsidP="00F25A0F">
            <w:pPr>
              <w:spacing w:line="240" w:lineRule="atLeast"/>
              <w:ind w:left="45"/>
              <w:jc w:val="right"/>
              <w:rPr>
                <w:rFonts w:ascii="Arial" w:hAnsi="Arial" w:cs="Arial"/>
                <w:sz w:val="18"/>
                <w:szCs w:val="18"/>
              </w:rPr>
            </w:pPr>
            <w:r w:rsidRPr="00F25A0F">
              <w:rPr>
                <w:rFonts w:ascii="Arial" w:hAnsi="Arial" w:cs="Arial"/>
                <w:sz w:val="18"/>
                <w:szCs w:val="18"/>
              </w:rPr>
              <w:t>.133</w:t>
            </w:r>
          </w:p>
        </w:tc>
        <w:tc>
          <w:tcPr>
            <w:tcW w:w="546" w:type="dxa"/>
            <w:tcBorders>
              <w:top w:val="single" w:sz="6" w:space="0" w:color="CBCBCB"/>
              <w:left w:val="single" w:sz="6" w:space="0" w:color="000000"/>
              <w:bottom w:val="single" w:sz="12" w:space="0" w:color="000000"/>
              <w:right w:val="single" w:sz="12" w:space="0" w:color="000000"/>
            </w:tcBorders>
            <w:shd w:val="clear" w:color="auto" w:fill="FFFFFF"/>
            <w:tcMar>
              <w:top w:w="0" w:type="dxa"/>
              <w:left w:w="75" w:type="dxa"/>
              <w:bottom w:w="0" w:type="dxa"/>
              <w:right w:w="75" w:type="dxa"/>
            </w:tcMar>
            <w:vAlign w:val="center"/>
            <w:hideMark/>
          </w:tcPr>
          <w:p w14:paraId="7B692969" w14:textId="77777777" w:rsidR="00B063E7" w:rsidRPr="00F25A0F" w:rsidRDefault="00B063E7" w:rsidP="00F25A0F">
            <w:pPr>
              <w:spacing w:line="240" w:lineRule="atLeast"/>
              <w:ind w:left="45"/>
              <w:jc w:val="right"/>
              <w:rPr>
                <w:rFonts w:ascii="Arial" w:hAnsi="Arial" w:cs="Arial"/>
                <w:sz w:val="18"/>
                <w:szCs w:val="18"/>
              </w:rPr>
            </w:pPr>
            <w:r>
              <w:rPr>
                <w:rFonts w:ascii="Arial" w:hAnsi="Arial" w:cs="Arial"/>
                <w:sz w:val="18"/>
                <w:szCs w:val="18"/>
              </w:rPr>
              <w:t>1.00</w:t>
            </w:r>
          </w:p>
        </w:tc>
      </w:tr>
    </w:tbl>
    <w:p w14:paraId="5A314F18" w14:textId="77777777" w:rsidR="0073336A" w:rsidRDefault="0073336A" w:rsidP="0073336A">
      <w:pPr>
        <w:spacing w:before="120" w:after="120" w:line="360" w:lineRule="auto"/>
        <w:jc w:val="both"/>
        <w:rPr>
          <w:b/>
          <w:lang w:val="el-GR"/>
        </w:rPr>
        <w:sectPr w:rsidR="0073336A" w:rsidSect="000D6495">
          <w:footerReference w:type="default" r:id="rId24"/>
          <w:pgSz w:w="11906" w:h="16838"/>
          <w:pgMar w:top="1440" w:right="1440" w:bottom="1440" w:left="1797" w:header="0" w:footer="0" w:gutter="0"/>
          <w:pgNumType w:start="1"/>
          <w:cols w:space="708"/>
          <w:formProt w:val="0"/>
          <w:docGrid w:linePitch="360" w:charSpace="-2049"/>
        </w:sectPr>
      </w:pPr>
    </w:p>
    <w:p w14:paraId="30B4220A" w14:textId="77777777" w:rsidR="000F7069" w:rsidRDefault="000F7069" w:rsidP="0073336A">
      <w:pPr>
        <w:spacing w:before="120" w:after="120" w:line="360" w:lineRule="auto"/>
        <w:jc w:val="both"/>
        <w:rPr>
          <w:b/>
          <w:lang w:val="el-GR"/>
        </w:rPr>
      </w:pPr>
    </w:p>
    <w:p w14:paraId="098A96B4" w14:textId="77777777" w:rsidR="000F7069" w:rsidRDefault="000F7069" w:rsidP="0073336A">
      <w:pPr>
        <w:spacing w:before="120" w:after="120" w:line="360" w:lineRule="auto"/>
        <w:jc w:val="both"/>
        <w:rPr>
          <w:b/>
          <w:lang w:val="el-GR"/>
        </w:rPr>
      </w:pPr>
    </w:p>
    <w:p w14:paraId="24C42C4B" w14:textId="77777777" w:rsidR="0073336A" w:rsidRPr="00C71E0B" w:rsidRDefault="0073336A" w:rsidP="0073336A">
      <w:pPr>
        <w:spacing w:before="120" w:after="120" w:line="360" w:lineRule="auto"/>
        <w:jc w:val="center"/>
        <w:rPr>
          <w:b/>
          <w:lang w:val="el-GR"/>
        </w:rPr>
      </w:pPr>
      <w:r>
        <w:rPr>
          <w:b/>
          <w:lang w:val="el-GR"/>
        </w:rPr>
        <w:t>Πίνακας 3.7</w:t>
      </w:r>
      <w:r w:rsidRPr="00F446F6">
        <w:rPr>
          <w:b/>
          <w:lang w:val="el-GR"/>
        </w:rPr>
        <w:t xml:space="preserve">. </w:t>
      </w:r>
      <w:r w:rsidRPr="00695BAD">
        <w:rPr>
          <w:b/>
        </w:rPr>
        <w:t>Item</w:t>
      </w:r>
      <w:r w:rsidRPr="00F446F6">
        <w:rPr>
          <w:b/>
          <w:lang w:val="el-GR"/>
        </w:rPr>
        <w:t xml:space="preserve"> </w:t>
      </w:r>
      <w:r w:rsidRPr="00695BAD">
        <w:rPr>
          <w:b/>
        </w:rPr>
        <w:t>to</w:t>
      </w:r>
      <w:r w:rsidRPr="00F446F6">
        <w:rPr>
          <w:b/>
          <w:lang w:val="el-GR"/>
        </w:rPr>
        <w:t xml:space="preserve"> </w:t>
      </w:r>
      <w:r w:rsidRPr="00695BAD">
        <w:rPr>
          <w:b/>
        </w:rPr>
        <w:t>Item</w:t>
      </w:r>
      <w:r w:rsidRPr="00F446F6">
        <w:rPr>
          <w:b/>
          <w:lang w:val="el-GR"/>
        </w:rPr>
        <w:t xml:space="preserve"> Ανάλυση της Κλίμακας σε σχέση με όλες τις ερωτήσεις του, για το Σύνολο του Δείγματος.</w:t>
      </w:r>
    </w:p>
    <w:tbl>
      <w:tblPr>
        <w:tblW w:w="12180" w:type="dxa"/>
        <w:jc w:val="center"/>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719"/>
        <w:gridCol w:w="789"/>
        <w:gridCol w:w="720"/>
        <w:gridCol w:w="786"/>
        <w:gridCol w:w="784"/>
        <w:gridCol w:w="836"/>
        <w:gridCol w:w="739"/>
        <w:gridCol w:w="782"/>
        <w:gridCol w:w="689"/>
        <w:gridCol w:w="835"/>
        <w:gridCol w:w="685"/>
        <w:gridCol w:w="690"/>
        <w:gridCol w:w="682"/>
        <w:gridCol w:w="820"/>
        <w:gridCol w:w="825"/>
        <w:gridCol w:w="799"/>
      </w:tblGrid>
      <w:tr w:rsidR="000F7069" w:rsidRPr="0073336A" w14:paraId="59F4A988" w14:textId="77777777" w:rsidTr="000F7069">
        <w:trPr>
          <w:jc w:val="center"/>
        </w:trPr>
        <w:tc>
          <w:tcPr>
            <w:tcW w:w="719"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75" w:type="dxa"/>
              <w:bottom w:w="0" w:type="dxa"/>
              <w:right w:w="75" w:type="dxa"/>
            </w:tcMar>
            <w:vAlign w:val="bottom"/>
            <w:hideMark/>
          </w:tcPr>
          <w:p w14:paraId="14E3F5DE" w14:textId="77777777" w:rsidR="0073336A" w:rsidRPr="0073336A" w:rsidRDefault="0073336A" w:rsidP="0073336A">
            <w:pPr>
              <w:jc w:val="center"/>
              <w:rPr>
                <w:b/>
                <w:lang w:val="el-GR"/>
              </w:rPr>
            </w:pPr>
          </w:p>
        </w:tc>
        <w:tc>
          <w:tcPr>
            <w:tcW w:w="789" w:type="dxa"/>
            <w:tcBorders>
              <w:top w:val="single" w:sz="12" w:space="0" w:color="000000"/>
              <w:left w:val="single" w:sz="12" w:space="0" w:color="000000"/>
              <w:bottom w:val="single" w:sz="12" w:space="0" w:color="000000"/>
              <w:right w:val="single" w:sz="6" w:space="0" w:color="000000"/>
            </w:tcBorders>
            <w:shd w:val="clear" w:color="auto" w:fill="FFFFFF"/>
            <w:tcMar>
              <w:top w:w="0" w:type="dxa"/>
              <w:left w:w="75" w:type="dxa"/>
              <w:bottom w:w="0" w:type="dxa"/>
              <w:right w:w="75" w:type="dxa"/>
            </w:tcMar>
            <w:vAlign w:val="bottom"/>
            <w:hideMark/>
          </w:tcPr>
          <w:p w14:paraId="085BF71B" w14:textId="77777777" w:rsidR="0073336A" w:rsidRPr="0073336A" w:rsidRDefault="0073336A" w:rsidP="0073336A">
            <w:pPr>
              <w:spacing w:line="240" w:lineRule="atLeast"/>
              <w:ind w:left="45"/>
              <w:jc w:val="center"/>
              <w:rPr>
                <w:rFonts w:ascii="Arial" w:hAnsi="Arial" w:cs="Arial"/>
                <w:b/>
              </w:rPr>
            </w:pPr>
            <w:r w:rsidRPr="0073336A">
              <w:rPr>
                <w:rFonts w:ascii="Arial" w:hAnsi="Arial" w:cs="Arial"/>
                <w:b/>
                <w:sz w:val="22"/>
                <w:szCs w:val="22"/>
              </w:rPr>
              <w:t>q1</w:t>
            </w:r>
          </w:p>
        </w:tc>
        <w:tc>
          <w:tcPr>
            <w:tcW w:w="720" w:type="dxa"/>
            <w:tcBorders>
              <w:top w:val="single" w:sz="12" w:space="0" w:color="000000"/>
              <w:left w:val="single" w:sz="6" w:space="0" w:color="000000"/>
              <w:bottom w:val="single" w:sz="12" w:space="0" w:color="000000"/>
              <w:right w:val="single" w:sz="6" w:space="0" w:color="000000"/>
            </w:tcBorders>
            <w:shd w:val="clear" w:color="auto" w:fill="FFFFFF"/>
            <w:tcMar>
              <w:top w:w="0" w:type="dxa"/>
              <w:left w:w="75" w:type="dxa"/>
              <w:bottom w:w="0" w:type="dxa"/>
              <w:right w:w="75" w:type="dxa"/>
            </w:tcMar>
            <w:vAlign w:val="bottom"/>
            <w:hideMark/>
          </w:tcPr>
          <w:p w14:paraId="4B2375CA" w14:textId="77777777" w:rsidR="0073336A" w:rsidRPr="0073336A" w:rsidRDefault="0073336A" w:rsidP="0073336A">
            <w:pPr>
              <w:spacing w:line="240" w:lineRule="atLeast"/>
              <w:ind w:left="45"/>
              <w:jc w:val="center"/>
              <w:rPr>
                <w:rFonts w:ascii="Arial" w:hAnsi="Arial" w:cs="Arial"/>
                <w:b/>
              </w:rPr>
            </w:pPr>
            <w:r w:rsidRPr="0073336A">
              <w:rPr>
                <w:rFonts w:ascii="Arial" w:hAnsi="Arial" w:cs="Arial"/>
                <w:b/>
                <w:sz w:val="22"/>
                <w:szCs w:val="22"/>
              </w:rPr>
              <w:t>q2</w:t>
            </w:r>
          </w:p>
        </w:tc>
        <w:tc>
          <w:tcPr>
            <w:tcW w:w="786" w:type="dxa"/>
            <w:tcBorders>
              <w:top w:val="single" w:sz="12" w:space="0" w:color="000000"/>
              <w:left w:val="single" w:sz="6" w:space="0" w:color="000000"/>
              <w:bottom w:val="single" w:sz="12" w:space="0" w:color="000000"/>
              <w:right w:val="single" w:sz="6" w:space="0" w:color="000000"/>
            </w:tcBorders>
            <w:shd w:val="clear" w:color="auto" w:fill="FFFFFF"/>
            <w:tcMar>
              <w:top w:w="0" w:type="dxa"/>
              <w:left w:w="75" w:type="dxa"/>
              <w:bottom w:w="0" w:type="dxa"/>
              <w:right w:w="75" w:type="dxa"/>
            </w:tcMar>
            <w:vAlign w:val="bottom"/>
            <w:hideMark/>
          </w:tcPr>
          <w:p w14:paraId="2A6A9BF4" w14:textId="77777777" w:rsidR="0073336A" w:rsidRPr="0073336A" w:rsidRDefault="0073336A" w:rsidP="0073336A">
            <w:pPr>
              <w:spacing w:line="240" w:lineRule="atLeast"/>
              <w:ind w:left="45"/>
              <w:jc w:val="center"/>
              <w:rPr>
                <w:rFonts w:ascii="Arial" w:hAnsi="Arial" w:cs="Arial"/>
                <w:b/>
              </w:rPr>
            </w:pPr>
            <w:r w:rsidRPr="0073336A">
              <w:rPr>
                <w:rFonts w:ascii="Arial" w:hAnsi="Arial" w:cs="Arial"/>
                <w:b/>
                <w:sz w:val="22"/>
                <w:szCs w:val="22"/>
              </w:rPr>
              <w:t>q2b</w:t>
            </w:r>
          </w:p>
        </w:tc>
        <w:tc>
          <w:tcPr>
            <w:tcW w:w="784" w:type="dxa"/>
            <w:tcBorders>
              <w:top w:val="single" w:sz="12" w:space="0" w:color="000000"/>
              <w:left w:val="single" w:sz="6" w:space="0" w:color="000000"/>
              <w:bottom w:val="single" w:sz="12" w:space="0" w:color="000000"/>
              <w:right w:val="single" w:sz="6" w:space="0" w:color="000000"/>
            </w:tcBorders>
            <w:shd w:val="clear" w:color="auto" w:fill="FFFFFF"/>
            <w:tcMar>
              <w:top w:w="0" w:type="dxa"/>
              <w:left w:w="75" w:type="dxa"/>
              <w:bottom w:w="0" w:type="dxa"/>
              <w:right w:w="75" w:type="dxa"/>
            </w:tcMar>
            <w:vAlign w:val="bottom"/>
            <w:hideMark/>
          </w:tcPr>
          <w:p w14:paraId="56EDA3C0" w14:textId="77777777" w:rsidR="0073336A" w:rsidRPr="0073336A" w:rsidRDefault="0073336A" w:rsidP="0073336A">
            <w:pPr>
              <w:spacing w:line="240" w:lineRule="atLeast"/>
              <w:ind w:left="45"/>
              <w:jc w:val="center"/>
              <w:rPr>
                <w:rFonts w:ascii="Arial" w:hAnsi="Arial" w:cs="Arial"/>
                <w:b/>
              </w:rPr>
            </w:pPr>
            <w:r w:rsidRPr="0073336A">
              <w:rPr>
                <w:rFonts w:ascii="Arial" w:hAnsi="Arial" w:cs="Arial"/>
                <w:b/>
                <w:sz w:val="22"/>
                <w:szCs w:val="22"/>
              </w:rPr>
              <w:t>q3</w:t>
            </w:r>
          </w:p>
        </w:tc>
        <w:tc>
          <w:tcPr>
            <w:tcW w:w="836" w:type="dxa"/>
            <w:tcBorders>
              <w:top w:val="single" w:sz="12" w:space="0" w:color="000000"/>
              <w:left w:val="single" w:sz="6" w:space="0" w:color="000000"/>
              <w:bottom w:val="single" w:sz="12" w:space="0" w:color="000000"/>
              <w:right w:val="single" w:sz="6" w:space="0" w:color="000000"/>
            </w:tcBorders>
            <w:shd w:val="clear" w:color="auto" w:fill="FFFFFF"/>
            <w:tcMar>
              <w:top w:w="0" w:type="dxa"/>
              <w:left w:w="75" w:type="dxa"/>
              <w:bottom w:w="0" w:type="dxa"/>
              <w:right w:w="75" w:type="dxa"/>
            </w:tcMar>
            <w:vAlign w:val="bottom"/>
            <w:hideMark/>
          </w:tcPr>
          <w:p w14:paraId="75AFDADB" w14:textId="77777777" w:rsidR="0073336A" w:rsidRPr="0073336A" w:rsidRDefault="0073336A" w:rsidP="0073336A">
            <w:pPr>
              <w:spacing w:line="240" w:lineRule="atLeast"/>
              <w:ind w:left="45"/>
              <w:jc w:val="center"/>
              <w:rPr>
                <w:rFonts w:ascii="Arial" w:hAnsi="Arial" w:cs="Arial"/>
                <w:b/>
              </w:rPr>
            </w:pPr>
            <w:r w:rsidRPr="0073336A">
              <w:rPr>
                <w:rFonts w:ascii="Arial" w:hAnsi="Arial" w:cs="Arial"/>
                <w:b/>
                <w:sz w:val="22"/>
                <w:szCs w:val="22"/>
              </w:rPr>
              <w:t>q3b</w:t>
            </w:r>
          </w:p>
        </w:tc>
        <w:tc>
          <w:tcPr>
            <w:tcW w:w="739" w:type="dxa"/>
            <w:tcBorders>
              <w:top w:val="single" w:sz="12" w:space="0" w:color="000000"/>
              <w:left w:val="single" w:sz="6" w:space="0" w:color="000000"/>
              <w:bottom w:val="single" w:sz="12" w:space="0" w:color="000000"/>
              <w:right w:val="single" w:sz="6" w:space="0" w:color="000000"/>
            </w:tcBorders>
            <w:shd w:val="clear" w:color="auto" w:fill="FFFFFF"/>
            <w:tcMar>
              <w:top w:w="0" w:type="dxa"/>
              <w:left w:w="75" w:type="dxa"/>
              <w:bottom w:w="0" w:type="dxa"/>
              <w:right w:w="75" w:type="dxa"/>
            </w:tcMar>
            <w:vAlign w:val="bottom"/>
            <w:hideMark/>
          </w:tcPr>
          <w:p w14:paraId="766C0927" w14:textId="77777777" w:rsidR="0073336A" w:rsidRPr="0073336A" w:rsidRDefault="0073336A" w:rsidP="0073336A">
            <w:pPr>
              <w:spacing w:line="240" w:lineRule="atLeast"/>
              <w:ind w:left="45"/>
              <w:jc w:val="center"/>
              <w:rPr>
                <w:rFonts w:ascii="Arial" w:hAnsi="Arial" w:cs="Arial"/>
                <w:b/>
              </w:rPr>
            </w:pPr>
            <w:r w:rsidRPr="0073336A">
              <w:rPr>
                <w:rFonts w:ascii="Arial" w:hAnsi="Arial" w:cs="Arial"/>
                <w:b/>
                <w:sz w:val="22"/>
                <w:szCs w:val="22"/>
              </w:rPr>
              <w:t>q4</w:t>
            </w:r>
          </w:p>
        </w:tc>
        <w:tc>
          <w:tcPr>
            <w:tcW w:w="782" w:type="dxa"/>
            <w:tcBorders>
              <w:top w:val="single" w:sz="12" w:space="0" w:color="000000"/>
              <w:left w:val="single" w:sz="6" w:space="0" w:color="000000"/>
              <w:bottom w:val="single" w:sz="12" w:space="0" w:color="000000"/>
              <w:right w:val="single" w:sz="6" w:space="0" w:color="000000"/>
            </w:tcBorders>
            <w:shd w:val="clear" w:color="auto" w:fill="FFFFFF"/>
            <w:tcMar>
              <w:top w:w="0" w:type="dxa"/>
              <w:left w:w="75" w:type="dxa"/>
              <w:bottom w:w="0" w:type="dxa"/>
              <w:right w:w="75" w:type="dxa"/>
            </w:tcMar>
            <w:vAlign w:val="bottom"/>
            <w:hideMark/>
          </w:tcPr>
          <w:p w14:paraId="29A81847" w14:textId="77777777" w:rsidR="0073336A" w:rsidRPr="0073336A" w:rsidRDefault="0073336A" w:rsidP="0073336A">
            <w:pPr>
              <w:spacing w:line="240" w:lineRule="atLeast"/>
              <w:ind w:left="45"/>
              <w:jc w:val="center"/>
              <w:rPr>
                <w:rFonts w:ascii="Arial" w:hAnsi="Arial" w:cs="Arial"/>
                <w:b/>
              </w:rPr>
            </w:pPr>
            <w:r w:rsidRPr="0073336A">
              <w:rPr>
                <w:rFonts w:ascii="Arial" w:hAnsi="Arial" w:cs="Arial"/>
                <w:b/>
                <w:sz w:val="22"/>
                <w:szCs w:val="22"/>
              </w:rPr>
              <w:t>q4b</w:t>
            </w:r>
          </w:p>
        </w:tc>
        <w:tc>
          <w:tcPr>
            <w:tcW w:w="689" w:type="dxa"/>
            <w:tcBorders>
              <w:top w:val="single" w:sz="12" w:space="0" w:color="000000"/>
              <w:left w:val="single" w:sz="6" w:space="0" w:color="000000"/>
              <w:bottom w:val="single" w:sz="12" w:space="0" w:color="000000"/>
              <w:right w:val="single" w:sz="6" w:space="0" w:color="000000"/>
            </w:tcBorders>
            <w:shd w:val="clear" w:color="auto" w:fill="FFFFFF"/>
            <w:tcMar>
              <w:top w:w="0" w:type="dxa"/>
              <w:left w:w="75" w:type="dxa"/>
              <w:bottom w:w="0" w:type="dxa"/>
              <w:right w:w="75" w:type="dxa"/>
            </w:tcMar>
            <w:vAlign w:val="bottom"/>
            <w:hideMark/>
          </w:tcPr>
          <w:p w14:paraId="30B8200E" w14:textId="77777777" w:rsidR="0073336A" w:rsidRPr="0073336A" w:rsidRDefault="0073336A" w:rsidP="0073336A">
            <w:pPr>
              <w:spacing w:line="240" w:lineRule="atLeast"/>
              <w:ind w:left="45"/>
              <w:jc w:val="center"/>
              <w:rPr>
                <w:rFonts w:ascii="Arial" w:hAnsi="Arial" w:cs="Arial"/>
                <w:b/>
              </w:rPr>
            </w:pPr>
            <w:r w:rsidRPr="0073336A">
              <w:rPr>
                <w:rFonts w:ascii="Arial" w:hAnsi="Arial" w:cs="Arial"/>
                <w:b/>
                <w:sz w:val="22"/>
                <w:szCs w:val="22"/>
              </w:rPr>
              <w:t>q5</w:t>
            </w:r>
          </w:p>
        </w:tc>
        <w:tc>
          <w:tcPr>
            <w:tcW w:w="835" w:type="dxa"/>
            <w:tcBorders>
              <w:top w:val="single" w:sz="12" w:space="0" w:color="000000"/>
              <w:left w:val="single" w:sz="6" w:space="0" w:color="000000"/>
              <w:bottom w:val="single" w:sz="12" w:space="0" w:color="000000"/>
              <w:right w:val="single" w:sz="6" w:space="0" w:color="000000"/>
            </w:tcBorders>
            <w:shd w:val="clear" w:color="auto" w:fill="FFFFFF"/>
            <w:tcMar>
              <w:top w:w="0" w:type="dxa"/>
              <w:left w:w="75" w:type="dxa"/>
              <w:bottom w:w="0" w:type="dxa"/>
              <w:right w:w="75" w:type="dxa"/>
            </w:tcMar>
            <w:vAlign w:val="bottom"/>
            <w:hideMark/>
          </w:tcPr>
          <w:p w14:paraId="22B27EC5" w14:textId="77777777" w:rsidR="0073336A" w:rsidRPr="0073336A" w:rsidRDefault="0073336A" w:rsidP="0073336A">
            <w:pPr>
              <w:spacing w:line="240" w:lineRule="atLeast"/>
              <w:ind w:left="45"/>
              <w:jc w:val="center"/>
              <w:rPr>
                <w:rFonts w:ascii="Arial" w:hAnsi="Arial" w:cs="Arial"/>
                <w:b/>
              </w:rPr>
            </w:pPr>
            <w:r w:rsidRPr="0073336A">
              <w:rPr>
                <w:rFonts w:ascii="Arial" w:hAnsi="Arial" w:cs="Arial"/>
                <w:b/>
                <w:sz w:val="22"/>
                <w:szCs w:val="22"/>
              </w:rPr>
              <w:t>q5b</w:t>
            </w:r>
          </w:p>
        </w:tc>
        <w:tc>
          <w:tcPr>
            <w:tcW w:w="685" w:type="dxa"/>
            <w:tcBorders>
              <w:top w:val="single" w:sz="12" w:space="0" w:color="000000"/>
              <w:left w:val="single" w:sz="6" w:space="0" w:color="000000"/>
              <w:bottom w:val="single" w:sz="12" w:space="0" w:color="000000"/>
              <w:right w:val="single" w:sz="6" w:space="0" w:color="000000"/>
            </w:tcBorders>
            <w:shd w:val="clear" w:color="auto" w:fill="FFFFFF"/>
            <w:tcMar>
              <w:top w:w="0" w:type="dxa"/>
              <w:left w:w="75" w:type="dxa"/>
              <w:bottom w:w="0" w:type="dxa"/>
              <w:right w:w="75" w:type="dxa"/>
            </w:tcMar>
            <w:vAlign w:val="bottom"/>
            <w:hideMark/>
          </w:tcPr>
          <w:p w14:paraId="34B6228F" w14:textId="77777777" w:rsidR="0073336A" w:rsidRPr="0073336A" w:rsidRDefault="0073336A" w:rsidP="0073336A">
            <w:pPr>
              <w:spacing w:line="240" w:lineRule="atLeast"/>
              <w:ind w:left="45"/>
              <w:jc w:val="center"/>
              <w:rPr>
                <w:rFonts w:ascii="Arial" w:hAnsi="Arial" w:cs="Arial"/>
                <w:b/>
              </w:rPr>
            </w:pPr>
            <w:r w:rsidRPr="0073336A">
              <w:rPr>
                <w:rFonts w:ascii="Arial" w:hAnsi="Arial" w:cs="Arial"/>
                <w:b/>
                <w:sz w:val="22"/>
                <w:szCs w:val="22"/>
              </w:rPr>
              <w:t>q6</w:t>
            </w:r>
          </w:p>
        </w:tc>
        <w:tc>
          <w:tcPr>
            <w:tcW w:w="690" w:type="dxa"/>
            <w:tcBorders>
              <w:top w:val="single" w:sz="12" w:space="0" w:color="000000"/>
              <w:left w:val="single" w:sz="6" w:space="0" w:color="000000"/>
              <w:bottom w:val="single" w:sz="12" w:space="0" w:color="000000"/>
              <w:right w:val="single" w:sz="6" w:space="0" w:color="000000"/>
            </w:tcBorders>
            <w:shd w:val="clear" w:color="auto" w:fill="FFFFFF"/>
            <w:tcMar>
              <w:top w:w="0" w:type="dxa"/>
              <w:left w:w="75" w:type="dxa"/>
              <w:bottom w:w="0" w:type="dxa"/>
              <w:right w:w="75" w:type="dxa"/>
            </w:tcMar>
            <w:vAlign w:val="bottom"/>
            <w:hideMark/>
          </w:tcPr>
          <w:p w14:paraId="4A589D5E" w14:textId="77777777" w:rsidR="0073336A" w:rsidRPr="0073336A" w:rsidRDefault="0073336A" w:rsidP="0073336A">
            <w:pPr>
              <w:spacing w:line="240" w:lineRule="atLeast"/>
              <w:ind w:left="45"/>
              <w:jc w:val="center"/>
              <w:rPr>
                <w:rFonts w:ascii="Arial" w:hAnsi="Arial" w:cs="Arial"/>
                <w:b/>
              </w:rPr>
            </w:pPr>
            <w:r w:rsidRPr="0073336A">
              <w:rPr>
                <w:rFonts w:ascii="Arial" w:hAnsi="Arial" w:cs="Arial"/>
                <w:b/>
                <w:sz w:val="22"/>
                <w:szCs w:val="22"/>
              </w:rPr>
              <w:t>q7</w:t>
            </w:r>
          </w:p>
        </w:tc>
        <w:tc>
          <w:tcPr>
            <w:tcW w:w="682" w:type="dxa"/>
            <w:tcBorders>
              <w:top w:val="single" w:sz="12" w:space="0" w:color="000000"/>
              <w:left w:val="single" w:sz="6" w:space="0" w:color="000000"/>
              <w:bottom w:val="single" w:sz="12" w:space="0" w:color="000000"/>
              <w:right w:val="single" w:sz="6" w:space="0" w:color="000000"/>
            </w:tcBorders>
            <w:shd w:val="clear" w:color="auto" w:fill="FFFFFF"/>
            <w:tcMar>
              <w:top w:w="0" w:type="dxa"/>
              <w:left w:w="75" w:type="dxa"/>
              <w:bottom w:w="0" w:type="dxa"/>
              <w:right w:w="75" w:type="dxa"/>
            </w:tcMar>
            <w:vAlign w:val="bottom"/>
            <w:hideMark/>
          </w:tcPr>
          <w:p w14:paraId="4499FBAF" w14:textId="77777777" w:rsidR="0073336A" w:rsidRPr="0073336A" w:rsidRDefault="0073336A" w:rsidP="0073336A">
            <w:pPr>
              <w:spacing w:line="240" w:lineRule="atLeast"/>
              <w:ind w:left="45"/>
              <w:jc w:val="center"/>
              <w:rPr>
                <w:rFonts w:ascii="Arial" w:hAnsi="Arial" w:cs="Arial"/>
                <w:b/>
              </w:rPr>
            </w:pPr>
            <w:r w:rsidRPr="0073336A">
              <w:rPr>
                <w:rFonts w:ascii="Arial" w:hAnsi="Arial" w:cs="Arial"/>
                <w:b/>
                <w:sz w:val="22"/>
                <w:szCs w:val="22"/>
              </w:rPr>
              <w:t>q8</w:t>
            </w:r>
          </w:p>
        </w:tc>
        <w:tc>
          <w:tcPr>
            <w:tcW w:w="820" w:type="dxa"/>
            <w:tcBorders>
              <w:top w:val="single" w:sz="12" w:space="0" w:color="000000"/>
              <w:left w:val="single" w:sz="6" w:space="0" w:color="000000"/>
              <w:bottom w:val="single" w:sz="12" w:space="0" w:color="000000"/>
              <w:right w:val="single" w:sz="6" w:space="0" w:color="000000"/>
            </w:tcBorders>
            <w:shd w:val="clear" w:color="auto" w:fill="FFFFFF"/>
            <w:tcMar>
              <w:top w:w="0" w:type="dxa"/>
              <w:left w:w="75" w:type="dxa"/>
              <w:bottom w:w="0" w:type="dxa"/>
              <w:right w:w="75" w:type="dxa"/>
            </w:tcMar>
            <w:vAlign w:val="bottom"/>
            <w:hideMark/>
          </w:tcPr>
          <w:p w14:paraId="62594EED" w14:textId="77777777" w:rsidR="0073336A" w:rsidRPr="0073336A" w:rsidRDefault="0073336A" w:rsidP="0073336A">
            <w:pPr>
              <w:spacing w:line="240" w:lineRule="atLeast"/>
              <w:ind w:left="45"/>
              <w:jc w:val="center"/>
              <w:rPr>
                <w:rFonts w:ascii="Arial" w:hAnsi="Arial" w:cs="Arial"/>
                <w:b/>
              </w:rPr>
            </w:pPr>
            <w:r w:rsidRPr="0073336A">
              <w:rPr>
                <w:rFonts w:ascii="Arial" w:hAnsi="Arial" w:cs="Arial"/>
                <w:b/>
                <w:sz w:val="22"/>
                <w:szCs w:val="22"/>
              </w:rPr>
              <w:t>q9</w:t>
            </w:r>
          </w:p>
        </w:tc>
        <w:tc>
          <w:tcPr>
            <w:tcW w:w="825" w:type="dxa"/>
            <w:tcBorders>
              <w:top w:val="single" w:sz="12" w:space="0" w:color="000000"/>
              <w:left w:val="single" w:sz="6" w:space="0" w:color="000000"/>
              <w:bottom w:val="single" w:sz="12" w:space="0" w:color="000000"/>
              <w:right w:val="single" w:sz="6" w:space="0" w:color="000000"/>
            </w:tcBorders>
            <w:shd w:val="clear" w:color="auto" w:fill="FFFFFF"/>
            <w:tcMar>
              <w:top w:w="0" w:type="dxa"/>
              <w:left w:w="75" w:type="dxa"/>
              <w:bottom w:w="0" w:type="dxa"/>
              <w:right w:w="75" w:type="dxa"/>
            </w:tcMar>
            <w:vAlign w:val="bottom"/>
            <w:hideMark/>
          </w:tcPr>
          <w:p w14:paraId="1735B896" w14:textId="77777777" w:rsidR="0073336A" w:rsidRPr="0073336A" w:rsidRDefault="0073336A" w:rsidP="0073336A">
            <w:pPr>
              <w:spacing w:line="240" w:lineRule="atLeast"/>
              <w:ind w:left="45"/>
              <w:jc w:val="center"/>
              <w:rPr>
                <w:rFonts w:ascii="Arial" w:hAnsi="Arial" w:cs="Arial"/>
                <w:b/>
              </w:rPr>
            </w:pPr>
            <w:r w:rsidRPr="0073336A">
              <w:rPr>
                <w:rFonts w:ascii="Arial" w:hAnsi="Arial" w:cs="Arial"/>
                <w:b/>
                <w:sz w:val="22"/>
                <w:szCs w:val="22"/>
              </w:rPr>
              <w:t>q10</w:t>
            </w:r>
          </w:p>
        </w:tc>
        <w:tc>
          <w:tcPr>
            <w:tcW w:w="799" w:type="dxa"/>
            <w:tcBorders>
              <w:top w:val="single" w:sz="12" w:space="0" w:color="000000"/>
              <w:left w:val="single" w:sz="6" w:space="0" w:color="000000"/>
              <w:bottom w:val="single" w:sz="12" w:space="0" w:color="000000"/>
              <w:right w:val="single" w:sz="12" w:space="0" w:color="000000"/>
            </w:tcBorders>
            <w:shd w:val="clear" w:color="auto" w:fill="FFFFFF"/>
            <w:tcMar>
              <w:top w:w="0" w:type="dxa"/>
              <w:left w:w="75" w:type="dxa"/>
              <w:bottom w:w="0" w:type="dxa"/>
              <w:right w:w="75" w:type="dxa"/>
            </w:tcMar>
            <w:vAlign w:val="bottom"/>
            <w:hideMark/>
          </w:tcPr>
          <w:p w14:paraId="02F707D8" w14:textId="77777777" w:rsidR="0073336A" w:rsidRPr="0073336A" w:rsidRDefault="0073336A" w:rsidP="0073336A">
            <w:pPr>
              <w:spacing w:line="240" w:lineRule="atLeast"/>
              <w:ind w:left="45"/>
              <w:jc w:val="center"/>
              <w:rPr>
                <w:rFonts w:ascii="Arial" w:hAnsi="Arial" w:cs="Arial"/>
                <w:b/>
              </w:rPr>
            </w:pPr>
            <w:r w:rsidRPr="0073336A">
              <w:rPr>
                <w:rFonts w:ascii="Arial" w:hAnsi="Arial" w:cs="Arial"/>
                <w:b/>
                <w:sz w:val="22"/>
                <w:szCs w:val="22"/>
              </w:rPr>
              <w:t>q11</w:t>
            </w:r>
          </w:p>
        </w:tc>
      </w:tr>
      <w:tr w:rsidR="000F7069" w:rsidRPr="0073336A" w14:paraId="146954C7" w14:textId="77777777" w:rsidTr="000F7069">
        <w:trPr>
          <w:jc w:val="center"/>
        </w:trPr>
        <w:tc>
          <w:tcPr>
            <w:tcW w:w="719" w:type="dxa"/>
            <w:tcBorders>
              <w:top w:val="single" w:sz="12" w:space="0" w:color="000000"/>
              <w:left w:val="single" w:sz="12" w:space="0" w:color="000000"/>
              <w:bottom w:val="single" w:sz="6" w:space="0" w:color="CBCBCB"/>
              <w:right w:val="single" w:sz="12" w:space="0" w:color="000000"/>
            </w:tcBorders>
            <w:shd w:val="clear" w:color="auto" w:fill="FFFFFF"/>
            <w:tcMar>
              <w:top w:w="0" w:type="dxa"/>
              <w:left w:w="75" w:type="dxa"/>
              <w:bottom w:w="0" w:type="dxa"/>
              <w:right w:w="75" w:type="dxa"/>
            </w:tcMar>
            <w:hideMark/>
          </w:tcPr>
          <w:p w14:paraId="1A18ABDD" w14:textId="77777777" w:rsidR="0073336A" w:rsidRPr="0073336A" w:rsidRDefault="0073336A" w:rsidP="0073336A">
            <w:pPr>
              <w:spacing w:line="240" w:lineRule="atLeast"/>
              <w:ind w:left="45"/>
              <w:jc w:val="center"/>
              <w:rPr>
                <w:rFonts w:ascii="Arial" w:hAnsi="Arial" w:cs="Arial"/>
                <w:b/>
              </w:rPr>
            </w:pPr>
            <w:r w:rsidRPr="0073336A">
              <w:rPr>
                <w:rFonts w:ascii="Arial" w:hAnsi="Arial" w:cs="Arial"/>
                <w:b/>
                <w:sz w:val="22"/>
                <w:szCs w:val="22"/>
              </w:rPr>
              <w:t>q1</w:t>
            </w:r>
          </w:p>
        </w:tc>
        <w:tc>
          <w:tcPr>
            <w:tcW w:w="789" w:type="dxa"/>
            <w:tcBorders>
              <w:top w:val="single" w:sz="12" w:space="0" w:color="000000"/>
              <w:left w:val="single" w:sz="12"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3F860584" w14:textId="77777777" w:rsidR="0073336A" w:rsidRPr="0073336A" w:rsidRDefault="0073336A" w:rsidP="0073336A">
            <w:pPr>
              <w:spacing w:line="240" w:lineRule="atLeast"/>
              <w:ind w:left="45"/>
              <w:jc w:val="center"/>
              <w:rPr>
                <w:rFonts w:ascii="Arial" w:hAnsi="Arial" w:cs="Arial"/>
              </w:rPr>
            </w:pPr>
            <w:r w:rsidRPr="0073336A">
              <w:rPr>
                <w:rFonts w:ascii="Arial" w:hAnsi="Arial" w:cs="Arial"/>
                <w:sz w:val="22"/>
                <w:szCs w:val="22"/>
              </w:rPr>
              <w:t>1.00</w:t>
            </w:r>
          </w:p>
        </w:tc>
        <w:tc>
          <w:tcPr>
            <w:tcW w:w="720" w:type="dxa"/>
            <w:tcBorders>
              <w:top w:val="single" w:sz="12" w:space="0" w:color="000000"/>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138E76B1" w14:textId="77777777" w:rsidR="0073336A" w:rsidRPr="0073336A" w:rsidRDefault="0073336A" w:rsidP="0073336A">
            <w:pPr>
              <w:spacing w:line="240" w:lineRule="atLeast"/>
              <w:ind w:left="45"/>
              <w:jc w:val="center"/>
              <w:rPr>
                <w:rFonts w:ascii="Arial" w:hAnsi="Arial" w:cs="Arial"/>
              </w:rPr>
            </w:pPr>
          </w:p>
        </w:tc>
        <w:tc>
          <w:tcPr>
            <w:tcW w:w="786" w:type="dxa"/>
            <w:tcBorders>
              <w:top w:val="single" w:sz="12" w:space="0" w:color="000000"/>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5B6C20B1" w14:textId="77777777" w:rsidR="0073336A" w:rsidRPr="0073336A" w:rsidRDefault="0073336A" w:rsidP="0073336A">
            <w:pPr>
              <w:spacing w:line="240" w:lineRule="atLeast"/>
              <w:ind w:left="45"/>
              <w:jc w:val="center"/>
              <w:rPr>
                <w:rFonts w:ascii="Arial" w:hAnsi="Arial" w:cs="Arial"/>
              </w:rPr>
            </w:pPr>
          </w:p>
        </w:tc>
        <w:tc>
          <w:tcPr>
            <w:tcW w:w="784" w:type="dxa"/>
            <w:tcBorders>
              <w:top w:val="single" w:sz="12" w:space="0" w:color="000000"/>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5E2F0F93" w14:textId="77777777" w:rsidR="0073336A" w:rsidRPr="0073336A" w:rsidRDefault="0073336A" w:rsidP="0073336A">
            <w:pPr>
              <w:spacing w:line="240" w:lineRule="atLeast"/>
              <w:ind w:left="45"/>
              <w:jc w:val="center"/>
              <w:rPr>
                <w:rFonts w:ascii="Arial" w:hAnsi="Arial" w:cs="Arial"/>
              </w:rPr>
            </w:pPr>
          </w:p>
        </w:tc>
        <w:tc>
          <w:tcPr>
            <w:tcW w:w="836" w:type="dxa"/>
            <w:tcBorders>
              <w:top w:val="single" w:sz="12" w:space="0" w:color="000000"/>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4E755C1C" w14:textId="77777777" w:rsidR="0073336A" w:rsidRPr="0073336A" w:rsidRDefault="0073336A" w:rsidP="0073336A">
            <w:pPr>
              <w:spacing w:line="240" w:lineRule="atLeast"/>
              <w:ind w:left="45"/>
              <w:jc w:val="center"/>
              <w:rPr>
                <w:rFonts w:ascii="Arial" w:hAnsi="Arial" w:cs="Arial"/>
              </w:rPr>
            </w:pPr>
          </w:p>
        </w:tc>
        <w:tc>
          <w:tcPr>
            <w:tcW w:w="739" w:type="dxa"/>
            <w:tcBorders>
              <w:top w:val="single" w:sz="12" w:space="0" w:color="000000"/>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075B729F" w14:textId="77777777" w:rsidR="0073336A" w:rsidRPr="0073336A" w:rsidRDefault="0073336A" w:rsidP="0073336A">
            <w:pPr>
              <w:spacing w:line="240" w:lineRule="atLeast"/>
              <w:ind w:left="45"/>
              <w:jc w:val="center"/>
              <w:rPr>
                <w:rFonts w:ascii="Arial" w:hAnsi="Arial" w:cs="Arial"/>
              </w:rPr>
            </w:pPr>
          </w:p>
        </w:tc>
        <w:tc>
          <w:tcPr>
            <w:tcW w:w="782" w:type="dxa"/>
            <w:tcBorders>
              <w:top w:val="single" w:sz="12" w:space="0" w:color="000000"/>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5A48E612" w14:textId="77777777" w:rsidR="0073336A" w:rsidRPr="0073336A" w:rsidRDefault="0073336A" w:rsidP="0073336A">
            <w:pPr>
              <w:spacing w:line="240" w:lineRule="atLeast"/>
              <w:ind w:left="45"/>
              <w:jc w:val="center"/>
              <w:rPr>
                <w:rFonts w:ascii="Arial" w:hAnsi="Arial" w:cs="Arial"/>
              </w:rPr>
            </w:pPr>
          </w:p>
        </w:tc>
        <w:tc>
          <w:tcPr>
            <w:tcW w:w="689" w:type="dxa"/>
            <w:tcBorders>
              <w:top w:val="single" w:sz="12" w:space="0" w:color="000000"/>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39AF361A" w14:textId="77777777" w:rsidR="0073336A" w:rsidRPr="0073336A" w:rsidRDefault="0073336A" w:rsidP="0073336A">
            <w:pPr>
              <w:spacing w:line="240" w:lineRule="atLeast"/>
              <w:ind w:left="45"/>
              <w:jc w:val="center"/>
              <w:rPr>
                <w:rFonts w:ascii="Arial" w:hAnsi="Arial" w:cs="Arial"/>
              </w:rPr>
            </w:pPr>
          </w:p>
        </w:tc>
        <w:tc>
          <w:tcPr>
            <w:tcW w:w="835" w:type="dxa"/>
            <w:tcBorders>
              <w:top w:val="single" w:sz="12" w:space="0" w:color="000000"/>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11BB5D10" w14:textId="77777777" w:rsidR="0073336A" w:rsidRPr="0073336A" w:rsidRDefault="0073336A" w:rsidP="0073336A">
            <w:pPr>
              <w:spacing w:line="240" w:lineRule="atLeast"/>
              <w:ind w:left="45"/>
              <w:jc w:val="center"/>
              <w:rPr>
                <w:rFonts w:ascii="Arial" w:hAnsi="Arial" w:cs="Arial"/>
              </w:rPr>
            </w:pPr>
          </w:p>
        </w:tc>
        <w:tc>
          <w:tcPr>
            <w:tcW w:w="685" w:type="dxa"/>
            <w:tcBorders>
              <w:top w:val="single" w:sz="12" w:space="0" w:color="000000"/>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5BEDEB94" w14:textId="77777777" w:rsidR="0073336A" w:rsidRPr="0073336A" w:rsidRDefault="0073336A" w:rsidP="0073336A">
            <w:pPr>
              <w:spacing w:line="240" w:lineRule="atLeast"/>
              <w:ind w:left="45"/>
              <w:jc w:val="center"/>
              <w:rPr>
                <w:rFonts w:ascii="Arial" w:hAnsi="Arial" w:cs="Arial"/>
              </w:rPr>
            </w:pPr>
          </w:p>
        </w:tc>
        <w:tc>
          <w:tcPr>
            <w:tcW w:w="690" w:type="dxa"/>
            <w:tcBorders>
              <w:top w:val="single" w:sz="12" w:space="0" w:color="000000"/>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51737284" w14:textId="77777777" w:rsidR="0073336A" w:rsidRPr="0073336A" w:rsidRDefault="0073336A" w:rsidP="0073336A">
            <w:pPr>
              <w:spacing w:line="240" w:lineRule="atLeast"/>
              <w:ind w:left="45"/>
              <w:jc w:val="center"/>
              <w:rPr>
                <w:rFonts w:ascii="Arial" w:hAnsi="Arial" w:cs="Arial"/>
              </w:rPr>
            </w:pPr>
          </w:p>
        </w:tc>
        <w:tc>
          <w:tcPr>
            <w:tcW w:w="682" w:type="dxa"/>
            <w:tcBorders>
              <w:top w:val="single" w:sz="12" w:space="0" w:color="000000"/>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54FD256B" w14:textId="77777777" w:rsidR="0073336A" w:rsidRPr="0073336A" w:rsidRDefault="0073336A" w:rsidP="0073336A">
            <w:pPr>
              <w:spacing w:line="240" w:lineRule="atLeast"/>
              <w:ind w:left="45"/>
              <w:jc w:val="center"/>
              <w:rPr>
                <w:rFonts w:ascii="Arial" w:hAnsi="Arial" w:cs="Arial"/>
              </w:rPr>
            </w:pPr>
          </w:p>
        </w:tc>
        <w:tc>
          <w:tcPr>
            <w:tcW w:w="820" w:type="dxa"/>
            <w:tcBorders>
              <w:top w:val="single" w:sz="12" w:space="0" w:color="000000"/>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0E915031" w14:textId="77777777" w:rsidR="0073336A" w:rsidRPr="0073336A" w:rsidRDefault="0073336A" w:rsidP="0073336A">
            <w:pPr>
              <w:spacing w:line="240" w:lineRule="atLeast"/>
              <w:ind w:left="45"/>
              <w:jc w:val="center"/>
              <w:rPr>
                <w:rFonts w:ascii="Arial" w:hAnsi="Arial" w:cs="Arial"/>
              </w:rPr>
            </w:pPr>
          </w:p>
        </w:tc>
        <w:tc>
          <w:tcPr>
            <w:tcW w:w="825" w:type="dxa"/>
            <w:tcBorders>
              <w:top w:val="single" w:sz="12" w:space="0" w:color="000000"/>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77BE24DD" w14:textId="77777777" w:rsidR="0073336A" w:rsidRPr="0073336A" w:rsidRDefault="0073336A" w:rsidP="0073336A">
            <w:pPr>
              <w:spacing w:line="240" w:lineRule="atLeast"/>
              <w:ind w:left="45"/>
              <w:jc w:val="center"/>
              <w:rPr>
                <w:rFonts w:ascii="Arial" w:hAnsi="Arial" w:cs="Arial"/>
              </w:rPr>
            </w:pPr>
          </w:p>
        </w:tc>
        <w:tc>
          <w:tcPr>
            <w:tcW w:w="799" w:type="dxa"/>
            <w:tcBorders>
              <w:top w:val="single" w:sz="12" w:space="0" w:color="000000"/>
              <w:left w:val="single" w:sz="6" w:space="0" w:color="000000"/>
              <w:bottom w:val="single" w:sz="6" w:space="0" w:color="CBCBCB"/>
              <w:right w:val="single" w:sz="12" w:space="0" w:color="000000"/>
            </w:tcBorders>
            <w:shd w:val="clear" w:color="auto" w:fill="FFFFFF"/>
            <w:tcMar>
              <w:top w:w="0" w:type="dxa"/>
              <w:left w:w="75" w:type="dxa"/>
              <w:bottom w:w="0" w:type="dxa"/>
              <w:right w:w="75" w:type="dxa"/>
            </w:tcMar>
            <w:vAlign w:val="center"/>
            <w:hideMark/>
          </w:tcPr>
          <w:p w14:paraId="549933E9" w14:textId="77777777" w:rsidR="0073336A" w:rsidRPr="0073336A" w:rsidRDefault="0073336A" w:rsidP="0073336A">
            <w:pPr>
              <w:spacing w:line="240" w:lineRule="atLeast"/>
              <w:ind w:left="45"/>
              <w:jc w:val="center"/>
              <w:rPr>
                <w:rFonts w:ascii="Arial" w:hAnsi="Arial" w:cs="Arial"/>
              </w:rPr>
            </w:pPr>
          </w:p>
        </w:tc>
      </w:tr>
      <w:tr w:rsidR="000F7069" w:rsidRPr="0073336A" w14:paraId="4F1329F5" w14:textId="77777777" w:rsidTr="000F7069">
        <w:trPr>
          <w:jc w:val="center"/>
        </w:trPr>
        <w:tc>
          <w:tcPr>
            <w:tcW w:w="719" w:type="dxa"/>
            <w:tcBorders>
              <w:top w:val="single" w:sz="6" w:space="0" w:color="CBCBCB"/>
              <w:left w:val="single" w:sz="12" w:space="0" w:color="000000"/>
              <w:bottom w:val="single" w:sz="6" w:space="0" w:color="CBCBCB"/>
              <w:right w:val="single" w:sz="12" w:space="0" w:color="000000"/>
            </w:tcBorders>
            <w:shd w:val="clear" w:color="auto" w:fill="FFFFFF"/>
            <w:tcMar>
              <w:top w:w="0" w:type="dxa"/>
              <w:left w:w="75" w:type="dxa"/>
              <w:bottom w:w="0" w:type="dxa"/>
              <w:right w:w="75" w:type="dxa"/>
            </w:tcMar>
            <w:hideMark/>
          </w:tcPr>
          <w:p w14:paraId="27E615AF" w14:textId="77777777" w:rsidR="0073336A" w:rsidRPr="0073336A" w:rsidRDefault="0073336A" w:rsidP="0073336A">
            <w:pPr>
              <w:spacing w:line="240" w:lineRule="atLeast"/>
              <w:ind w:left="45"/>
              <w:jc w:val="center"/>
              <w:rPr>
                <w:rFonts w:ascii="Arial" w:hAnsi="Arial" w:cs="Arial"/>
                <w:b/>
              </w:rPr>
            </w:pPr>
            <w:r w:rsidRPr="0073336A">
              <w:rPr>
                <w:rFonts w:ascii="Arial" w:hAnsi="Arial" w:cs="Arial"/>
                <w:b/>
                <w:sz w:val="22"/>
                <w:szCs w:val="22"/>
              </w:rPr>
              <w:t>q2</w:t>
            </w:r>
          </w:p>
        </w:tc>
        <w:tc>
          <w:tcPr>
            <w:tcW w:w="789" w:type="dxa"/>
            <w:tcBorders>
              <w:top w:val="single" w:sz="6" w:space="0" w:color="CBCBCB"/>
              <w:left w:val="single" w:sz="12"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40DAA7AD" w14:textId="77777777" w:rsidR="0073336A" w:rsidRPr="0073336A" w:rsidRDefault="0073336A" w:rsidP="0073336A">
            <w:pPr>
              <w:spacing w:line="240" w:lineRule="atLeast"/>
              <w:ind w:left="45"/>
              <w:jc w:val="center"/>
              <w:rPr>
                <w:rFonts w:ascii="Arial" w:hAnsi="Arial" w:cs="Arial"/>
              </w:rPr>
            </w:pPr>
            <w:r w:rsidRPr="0073336A">
              <w:rPr>
                <w:rFonts w:ascii="Arial" w:hAnsi="Arial" w:cs="Arial"/>
                <w:sz w:val="22"/>
                <w:szCs w:val="22"/>
              </w:rPr>
              <w:t>.541</w:t>
            </w:r>
          </w:p>
        </w:tc>
        <w:tc>
          <w:tcPr>
            <w:tcW w:w="720"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1F5F6E2B" w14:textId="77777777" w:rsidR="0073336A" w:rsidRPr="0073336A" w:rsidRDefault="0073336A" w:rsidP="0073336A">
            <w:pPr>
              <w:spacing w:line="240" w:lineRule="atLeast"/>
              <w:ind w:left="45"/>
              <w:jc w:val="center"/>
              <w:rPr>
                <w:rFonts w:ascii="Arial" w:hAnsi="Arial" w:cs="Arial"/>
              </w:rPr>
            </w:pPr>
            <w:r w:rsidRPr="0073336A">
              <w:rPr>
                <w:rFonts w:ascii="Arial" w:hAnsi="Arial" w:cs="Arial"/>
                <w:sz w:val="22"/>
                <w:szCs w:val="22"/>
              </w:rPr>
              <w:t>1.00</w:t>
            </w:r>
          </w:p>
        </w:tc>
        <w:tc>
          <w:tcPr>
            <w:tcW w:w="78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2B1224B0" w14:textId="77777777" w:rsidR="0073336A" w:rsidRPr="0073336A" w:rsidRDefault="0073336A" w:rsidP="0073336A">
            <w:pPr>
              <w:spacing w:line="240" w:lineRule="atLeast"/>
              <w:ind w:left="45"/>
              <w:jc w:val="center"/>
              <w:rPr>
                <w:rFonts w:ascii="Arial" w:hAnsi="Arial" w:cs="Arial"/>
              </w:rPr>
            </w:pPr>
          </w:p>
        </w:tc>
        <w:tc>
          <w:tcPr>
            <w:tcW w:w="784"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72164F33" w14:textId="77777777" w:rsidR="0073336A" w:rsidRPr="0073336A" w:rsidRDefault="0073336A" w:rsidP="0073336A">
            <w:pPr>
              <w:spacing w:line="240" w:lineRule="atLeast"/>
              <w:ind w:left="45"/>
              <w:jc w:val="center"/>
              <w:rPr>
                <w:rFonts w:ascii="Arial" w:hAnsi="Arial" w:cs="Arial"/>
              </w:rPr>
            </w:pPr>
          </w:p>
        </w:tc>
        <w:tc>
          <w:tcPr>
            <w:tcW w:w="83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5CE93A82" w14:textId="77777777" w:rsidR="0073336A" w:rsidRPr="0073336A" w:rsidRDefault="0073336A" w:rsidP="0073336A">
            <w:pPr>
              <w:spacing w:line="240" w:lineRule="atLeast"/>
              <w:ind w:left="45"/>
              <w:jc w:val="center"/>
              <w:rPr>
                <w:rFonts w:ascii="Arial" w:hAnsi="Arial" w:cs="Arial"/>
              </w:rPr>
            </w:pPr>
          </w:p>
        </w:tc>
        <w:tc>
          <w:tcPr>
            <w:tcW w:w="739"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7A76651D" w14:textId="77777777" w:rsidR="0073336A" w:rsidRPr="0073336A" w:rsidRDefault="0073336A" w:rsidP="0073336A">
            <w:pPr>
              <w:spacing w:line="240" w:lineRule="atLeast"/>
              <w:ind w:left="45"/>
              <w:jc w:val="center"/>
              <w:rPr>
                <w:rFonts w:ascii="Arial" w:hAnsi="Arial" w:cs="Arial"/>
              </w:rPr>
            </w:pPr>
          </w:p>
        </w:tc>
        <w:tc>
          <w:tcPr>
            <w:tcW w:w="782"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2B120C36" w14:textId="77777777" w:rsidR="0073336A" w:rsidRPr="0073336A" w:rsidRDefault="0073336A" w:rsidP="0073336A">
            <w:pPr>
              <w:spacing w:line="240" w:lineRule="atLeast"/>
              <w:ind w:left="45"/>
              <w:jc w:val="center"/>
              <w:rPr>
                <w:rFonts w:ascii="Arial" w:hAnsi="Arial" w:cs="Arial"/>
              </w:rPr>
            </w:pPr>
          </w:p>
        </w:tc>
        <w:tc>
          <w:tcPr>
            <w:tcW w:w="689"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6E6B4510" w14:textId="77777777" w:rsidR="0073336A" w:rsidRPr="0073336A" w:rsidRDefault="0073336A" w:rsidP="0073336A">
            <w:pPr>
              <w:spacing w:line="240" w:lineRule="atLeast"/>
              <w:ind w:left="45"/>
              <w:jc w:val="center"/>
              <w:rPr>
                <w:rFonts w:ascii="Arial" w:hAnsi="Arial" w:cs="Arial"/>
              </w:rPr>
            </w:pPr>
          </w:p>
        </w:tc>
        <w:tc>
          <w:tcPr>
            <w:tcW w:w="835"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244561AA" w14:textId="77777777" w:rsidR="0073336A" w:rsidRPr="0073336A" w:rsidRDefault="0073336A" w:rsidP="0073336A">
            <w:pPr>
              <w:spacing w:line="240" w:lineRule="atLeast"/>
              <w:ind w:left="45"/>
              <w:jc w:val="center"/>
              <w:rPr>
                <w:rFonts w:ascii="Arial" w:hAnsi="Arial" w:cs="Arial"/>
              </w:rPr>
            </w:pPr>
          </w:p>
        </w:tc>
        <w:tc>
          <w:tcPr>
            <w:tcW w:w="685"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14C06B23" w14:textId="77777777" w:rsidR="0073336A" w:rsidRPr="0073336A" w:rsidRDefault="0073336A" w:rsidP="0073336A">
            <w:pPr>
              <w:spacing w:line="240" w:lineRule="atLeast"/>
              <w:ind w:left="45"/>
              <w:jc w:val="center"/>
              <w:rPr>
                <w:rFonts w:ascii="Arial" w:hAnsi="Arial" w:cs="Arial"/>
              </w:rPr>
            </w:pPr>
          </w:p>
        </w:tc>
        <w:tc>
          <w:tcPr>
            <w:tcW w:w="690"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34DACFEB" w14:textId="77777777" w:rsidR="0073336A" w:rsidRPr="0073336A" w:rsidRDefault="0073336A" w:rsidP="0073336A">
            <w:pPr>
              <w:spacing w:line="240" w:lineRule="atLeast"/>
              <w:ind w:left="45"/>
              <w:jc w:val="center"/>
              <w:rPr>
                <w:rFonts w:ascii="Arial" w:hAnsi="Arial" w:cs="Arial"/>
              </w:rPr>
            </w:pPr>
          </w:p>
        </w:tc>
        <w:tc>
          <w:tcPr>
            <w:tcW w:w="682"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496738AC" w14:textId="77777777" w:rsidR="0073336A" w:rsidRPr="0073336A" w:rsidRDefault="0073336A" w:rsidP="0073336A">
            <w:pPr>
              <w:spacing w:line="240" w:lineRule="atLeast"/>
              <w:ind w:left="45"/>
              <w:jc w:val="center"/>
              <w:rPr>
                <w:rFonts w:ascii="Arial" w:hAnsi="Arial" w:cs="Arial"/>
              </w:rPr>
            </w:pPr>
          </w:p>
        </w:tc>
        <w:tc>
          <w:tcPr>
            <w:tcW w:w="820"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17F5F135" w14:textId="77777777" w:rsidR="0073336A" w:rsidRPr="0073336A" w:rsidRDefault="0073336A" w:rsidP="0073336A">
            <w:pPr>
              <w:spacing w:line="240" w:lineRule="atLeast"/>
              <w:ind w:left="45"/>
              <w:jc w:val="center"/>
              <w:rPr>
                <w:rFonts w:ascii="Arial" w:hAnsi="Arial" w:cs="Arial"/>
              </w:rPr>
            </w:pPr>
          </w:p>
        </w:tc>
        <w:tc>
          <w:tcPr>
            <w:tcW w:w="825"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5133461C" w14:textId="77777777" w:rsidR="0073336A" w:rsidRPr="0073336A" w:rsidRDefault="0073336A" w:rsidP="0073336A">
            <w:pPr>
              <w:spacing w:line="240" w:lineRule="atLeast"/>
              <w:ind w:left="45"/>
              <w:jc w:val="center"/>
              <w:rPr>
                <w:rFonts w:ascii="Arial" w:hAnsi="Arial" w:cs="Arial"/>
              </w:rPr>
            </w:pPr>
          </w:p>
        </w:tc>
        <w:tc>
          <w:tcPr>
            <w:tcW w:w="799" w:type="dxa"/>
            <w:tcBorders>
              <w:top w:val="single" w:sz="6" w:space="0" w:color="CBCBCB"/>
              <w:left w:val="single" w:sz="6" w:space="0" w:color="000000"/>
              <w:bottom w:val="single" w:sz="6" w:space="0" w:color="CBCBCB"/>
              <w:right w:val="single" w:sz="12" w:space="0" w:color="000000"/>
            </w:tcBorders>
            <w:shd w:val="clear" w:color="auto" w:fill="FFFFFF"/>
            <w:tcMar>
              <w:top w:w="0" w:type="dxa"/>
              <w:left w:w="75" w:type="dxa"/>
              <w:bottom w:w="0" w:type="dxa"/>
              <w:right w:w="75" w:type="dxa"/>
            </w:tcMar>
            <w:vAlign w:val="center"/>
            <w:hideMark/>
          </w:tcPr>
          <w:p w14:paraId="3715816E" w14:textId="77777777" w:rsidR="0073336A" w:rsidRPr="0073336A" w:rsidRDefault="0073336A" w:rsidP="0073336A">
            <w:pPr>
              <w:spacing w:line="240" w:lineRule="atLeast"/>
              <w:ind w:left="45"/>
              <w:jc w:val="center"/>
              <w:rPr>
                <w:rFonts w:ascii="Arial" w:hAnsi="Arial" w:cs="Arial"/>
              </w:rPr>
            </w:pPr>
          </w:p>
        </w:tc>
      </w:tr>
      <w:tr w:rsidR="000F7069" w:rsidRPr="0073336A" w14:paraId="7BADAB77" w14:textId="77777777" w:rsidTr="000F7069">
        <w:trPr>
          <w:jc w:val="center"/>
        </w:trPr>
        <w:tc>
          <w:tcPr>
            <w:tcW w:w="719" w:type="dxa"/>
            <w:tcBorders>
              <w:top w:val="single" w:sz="6" w:space="0" w:color="CBCBCB"/>
              <w:left w:val="single" w:sz="12" w:space="0" w:color="000000"/>
              <w:bottom w:val="single" w:sz="6" w:space="0" w:color="CBCBCB"/>
              <w:right w:val="single" w:sz="12" w:space="0" w:color="000000"/>
            </w:tcBorders>
            <w:shd w:val="clear" w:color="auto" w:fill="FFFFFF"/>
            <w:tcMar>
              <w:top w:w="0" w:type="dxa"/>
              <w:left w:w="75" w:type="dxa"/>
              <w:bottom w:w="0" w:type="dxa"/>
              <w:right w:w="75" w:type="dxa"/>
            </w:tcMar>
            <w:hideMark/>
          </w:tcPr>
          <w:p w14:paraId="2D3D8368" w14:textId="77777777" w:rsidR="0073336A" w:rsidRPr="0073336A" w:rsidRDefault="0073336A" w:rsidP="0073336A">
            <w:pPr>
              <w:spacing w:line="240" w:lineRule="atLeast"/>
              <w:ind w:left="45"/>
              <w:jc w:val="center"/>
              <w:rPr>
                <w:rFonts w:ascii="Arial" w:hAnsi="Arial" w:cs="Arial"/>
                <w:b/>
              </w:rPr>
            </w:pPr>
            <w:r w:rsidRPr="0073336A">
              <w:rPr>
                <w:rFonts w:ascii="Arial" w:hAnsi="Arial" w:cs="Arial"/>
                <w:b/>
                <w:sz w:val="22"/>
                <w:szCs w:val="22"/>
              </w:rPr>
              <w:t>q2b</w:t>
            </w:r>
          </w:p>
        </w:tc>
        <w:tc>
          <w:tcPr>
            <w:tcW w:w="789" w:type="dxa"/>
            <w:tcBorders>
              <w:top w:val="single" w:sz="6" w:space="0" w:color="CBCBCB"/>
              <w:left w:val="single" w:sz="12"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2BE6F9BC" w14:textId="77777777" w:rsidR="0073336A" w:rsidRPr="0073336A" w:rsidRDefault="0073336A" w:rsidP="0073336A">
            <w:pPr>
              <w:spacing w:line="240" w:lineRule="atLeast"/>
              <w:ind w:left="45"/>
              <w:jc w:val="center"/>
              <w:rPr>
                <w:rFonts w:ascii="Arial" w:hAnsi="Arial" w:cs="Arial"/>
              </w:rPr>
            </w:pPr>
            <w:r w:rsidRPr="0073336A">
              <w:rPr>
                <w:rFonts w:ascii="Arial" w:hAnsi="Arial" w:cs="Arial"/>
                <w:sz w:val="22"/>
                <w:szCs w:val="22"/>
              </w:rPr>
              <w:t>.465</w:t>
            </w:r>
          </w:p>
        </w:tc>
        <w:tc>
          <w:tcPr>
            <w:tcW w:w="720"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570769AD" w14:textId="77777777" w:rsidR="0073336A" w:rsidRPr="0073336A" w:rsidRDefault="0073336A" w:rsidP="0073336A">
            <w:pPr>
              <w:spacing w:line="240" w:lineRule="atLeast"/>
              <w:ind w:left="45"/>
              <w:jc w:val="center"/>
              <w:rPr>
                <w:rFonts w:ascii="Arial" w:hAnsi="Arial" w:cs="Arial"/>
              </w:rPr>
            </w:pPr>
            <w:r w:rsidRPr="0073336A">
              <w:rPr>
                <w:rFonts w:ascii="Arial" w:hAnsi="Arial" w:cs="Arial"/>
                <w:sz w:val="22"/>
                <w:szCs w:val="22"/>
              </w:rPr>
              <w:t>.610</w:t>
            </w:r>
          </w:p>
        </w:tc>
        <w:tc>
          <w:tcPr>
            <w:tcW w:w="78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526DFD85" w14:textId="77777777" w:rsidR="0073336A" w:rsidRPr="0073336A" w:rsidRDefault="0073336A" w:rsidP="0073336A">
            <w:pPr>
              <w:spacing w:line="240" w:lineRule="atLeast"/>
              <w:ind w:left="45"/>
              <w:jc w:val="center"/>
              <w:rPr>
                <w:rFonts w:ascii="Arial" w:hAnsi="Arial" w:cs="Arial"/>
              </w:rPr>
            </w:pPr>
            <w:r w:rsidRPr="0073336A">
              <w:rPr>
                <w:rFonts w:ascii="Arial" w:hAnsi="Arial" w:cs="Arial"/>
                <w:sz w:val="22"/>
                <w:szCs w:val="22"/>
              </w:rPr>
              <w:t>1.00</w:t>
            </w:r>
          </w:p>
        </w:tc>
        <w:tc>
          <w:tcPr>
            <w:tcW w:w="784"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60A3B1D4" w14:textId="77777777" w:rsidR="0073336A" w:rsidRPr="0073336A" w:rsidRDefault="0073336A" w:rsidP="0073336A">
            <w:pPr>
              <w:spacing w:line="240" w:lineRule="atLeast"/>
              <w:ind w:left="45"/>
              <w:jc w:val="center"/>
              <w:rPr>
                <w:rFonts w:ascii="Arial" w:hAnsi="Arial" w:cs="Arial"/>
              </w:rPr>
            </w:pPr>
          </w:p>
        </w:tc>
        <w:tc>
          <w:tcPr>
            <w:tcW w:w="83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02E9FC0B" w14:textId="77777777" w:rsidR="0073336A" w:rsidRPr="0073336A" w:rsidRDefault="0073336A" w:rsidP="0073336A">
            <w:pPr>
              <w:spacing w:line="240" w:lineRule="atLeast"/>
              <w:ind w:left="45"/>
              <w:jc w:val="center"/>
              <w:rPr>
                <w:rFonts w:ascii="Arial" w:hAnsi="Arial" w:cs="Arial"/>
              </w:rPr>
            </w:pPr>
          </w:p>
        </w:tc>
        <w:tc>
          <w:tcPr>
            <w:tcW w:w="739"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6576E64B" w14:textId="77777777" w:rsidR="0073336A" w:rsidRPr="0073336A" w:rsidRDefault="0073336A" w:rsidP="0073336A">
            <w:pPr>
              <w:spacing w:line="240" w:lineRule="atLeast"/>
              <w:ind w:left="45"/>
              <w:jc w:val="center"/>
              <w:rPr>
                <w:rFonts w:ascii="Arial" w:hAnsi="Arial" w:cs="Arial"/>
              </w:rPr>
            </w:pPr>
          </w:p>
        </w:tc>
        <w:tc>
          <w:tcPr>
            <w:tcW w:w="782"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1D6DC336" w14:textId="77777777" w:rsidR="0073336A" w:rsidRPr="0073336A" w:rsidRDefault="0073336A" w:rsidP="0073336A">
            <w:pPr>
              <w:spacing w:line="240" w:lineRule="atLeast"/>
              <w:ind w:left="45"/>
              <w:jc w:val="center"/>
              <w:rPr>
                <w:rFonts w:ascii="Arial" w:hAnsi="Arial" w:cs="Arial"/>
              </w:rPr>
            </w:pPr>
          </w:p>
        </w:tc>
        <w:tc>
          <w:tcPr>
            <w:tcW w:w="689"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16E6B1AE" w14:textId="77777777" w:rsidR="0073336A" w:rsidRPr="0073336A" w:rsidRDefault="0073336A" w:rsidP="0073336A">
            <w:pPr>
              <w:spacing w:line="240" w:lineRule="atLeast"/>
              <w:ind w:left="45"/>
              <w:jc w:val="center"/>
              <w:rPr>
                <w:rFonts w:ascii="Arial" w:hAnsi="Arial" w:cs="Arial"/>
              </w:rPr>
            </w:pPr>
          </w:p>
        </w:tc>
        <w:tc>
          <w:tcPr>
            <w:tcW w:w="835"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2B3B297E" w14:textId="77777777" w:rsidR="0073336A" w:rsidRPr="0073336A" w:rsidRDefault="0073336A" w:rsidP="0073336A">
            <w:pPr>
              <w:spacing w:line="240" w:lineRule="atLeast"/>
              <w:ind w:left="45"/>
              <w:jc w:val="center"/>
              <w:rPr>
                <w:rFonts w:ascii="Arial" w:hAnsi="Arial" w:cs="Arial"/>
              </w:rPr>
            </w:pPr>
          </w:p>
        </w:tc>
        <w:tc>
          <w:tcPr>
            <w:tcW w:w="685"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17B392FA" w14:textId="77777777" w:rsidR="0073336A" w:rsidRPr="0073336A" w:rsidRDefault="0073336A" w:rsidP="0073336A">
            <w:pPr>
              <w:spacing w:line="240" w:lineRule="atLeast"/>
              <w:ind w:left="45"/>
              <w:jc w:val="center"/>
              <w:rPr>
                <w:rFonts w:ascii="Arial" w:hAnsi="Arial" w:cs="Arial"/>
              </w:rPr>
            </w:pPr>
          </w:p>
        </w:tc>
        <w:tc>
          <w:tcPr>
            <w:tcW w:w="690"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5F1A503E" w14:textId="77777777" w:rsidR="0073336A" w:rsidRPr="0073336A" w:rsidRDefault="0073336A" w:rsidP="0073336A">
            <w:pPr>
              <w:spacing w:line="240" w:lineRule="atLeast"/>
              <w:ind w:left="45"/>
              <w:jc w:val="center"/>
              <w:rPr>
                <w:rFonts w:ascii="Arial" w:hAnsi="Arial" w:cs="Arial"/>
              </w:rPr>
            </w:pPr>
          </w:p>
        </w:tc>
        <w:tc>
          <w:tcPr>
            <w:tcW w:w="682"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0F85490C" w14:textId="77777777" w:rsidR="0073336A" w:rsidRPr="0073336A" w:rsidRDefault="0073336A" w:rsidP="0073336A">
            <w:pPr>
              <w:spacing w:line="240" w:lineRule="atLeast"/>
              <w:ind w:left="45"/>
              <w:jc w:val="center"/>
              <w:rPr>
                <w:rFonts w:ascii="Arial" w:hAnsi="Arial" w:cs="Arial"/>
              </w:rPr>
            </w:pPr>
          </w:p>
        </w:tc>
        <w:tc>
          <w:tcPr>
            <w:tcW w:w="820"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075001C4" w14:textId="77777777" w:rsidR="0073336A" w:rsidRPr="0073336A" w:rsidRDefault="0073336A" w:rsidP="0073336A">
            <w:pPr>
              <w:spacing w:line="240" w:lineRule="atLeast"/>
              <w:ind w:left="45"/>
              <w:jc w:val="center"/>
              <w:rPr>
                <w:rFonts w:ascii="Arial" w:hAnsi="Arial" w:cs="Arial"/>
              </w:rPr>
            </w:pPr>
          </w:p>
        </w:tc>
        <w:tc>
          <w:tcPr>
            <w:tcW w:w="825"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23607CB8" w14:textId="77777777" w:rsidR="0073336A" w:rsidRPr="0073336A" w:rsidRDefault="0073336A" w:rsidP="0073336A">
            <w:pPr>
              <w:spacing w:line="240" w:lineRule="atLeast"/>
              <w:ind w:left="45"/>
              <w:jc w:val="center"/>
              <w:rPr>
                <w:rFonts w:ascii="Arial" w:hAnsi="Arial" w:cs="Arial"/>
              </w:rPr>
            </w:pPr>
          </w:p>
        </w:tc>
        <w:tc>
          <w:tcPr>
            <w:tcW w:w="799" w:type="dxa"/>
            <w:tcBorders>
              <w:top w:val="single" w:sz="6" w:space="0" w:color="CBCBCB"/>
              <w:left w:val="single" w:sz="6" w:space="0" w:color="000000"/>
              <w:bottom w:val="single" w:sz="6" w:space="0" w:color="CBCBCB"/>
              <w:right w:val="single" w:sz="12" w:space="0" w:color="000000"/>
            </w:tcBorders>
            <w:shd w:val="clear" w:color="auto" w:fill="FFFFFF"/>
            <w:tcMar>
              <w:top w:w="0" w:type="dxa"/>
              <w:left w:w="75" w:type="dxa"/>
              <w:bottom w:w="0" w:type="dxa"/>
              <w:right w:w="75" w:type="dxa"/>
            </w:tcMar>
            <w:vAlign w:val="center"/>
            <w:hideMark/>
          </w:tcPr>
          <w:p w14:paraId="479D6161" w14:textId="77777777" w:rsidR="0073336A" w:rsidRPr="0073336A" w:rsidRDefault="0073336A" w:rsidP="0073336A">
            <w:pPr>
              <w:spacing w:line="240" w:lineRule="atLeast"/>
              <w:ind w:left="45"/>
              <w:jc w:val="center"/>
              <w:rPr>
                <w:rFonts w:ascii="Arial" w:hAnsi="Arial" w:cs="Arial"/>
              </w:rPr>
            </w:pPr>
          </w:p>
        </w:tc>
      </w:tr>
      <w:tr w:rsidR="000F7069" w:rsidRPr="0073336A" w14:paraId="41C41D7C" w14:textId="77777777" w:rsidTr="000F7069">
        <w:trPr>
          <w:jc w:val="center"/>
        </w:trPr>
        <w:tc>
          <w:tcPr>
            <w:tcW w:w="719" w:type="dxa"/>
            <w:tcBorders>
              <w:top w:val="single" w:sz="6" w:space="0" w:color="CBCBCB"/>
              <w:left w:val="single" w:sz="12" w:space="0" w:color="000000"/>
              <w:bottom w:val="single" w:sz="6" w:space="0" w:color="CBCBCB"/>
              <w:right w:val="single" w:sz="12" w:space="0" w:color="000000"/>
            </w:tcBorders>
            <w:shd w:val="clear" w:color="auto" w:fill="FFFFFF"/>
            <w:tcMar>
              <w:top w:w="0" w:type="dxa"/>
              <w:left w:w="75" w:type="dxa"/>
              <w:bottom w:w="0" w:type="dxa"/>
              <w:right w:w="75" w:type="dxa"/>
            </w:tcMar>
            <w:hideMark/>
          </w:tcPr>
          <w:p w14:paraId="5097DD47" w14:textId="77777777" w:rsidR="0073336A" w:rsidRPr="0073336A" w:rsidRDefault="0073336A" w:rsidP="0073336A">
            <w:pPr>
              <w:spacing w:line="240" w:lineRule="atLeast"/>
              <w:ind w:left="45"/>
              <w:jc w:val="center"/>
              <w:rPr>
                <w:rFonts w:ascii="Arial" w:hAnsi="Arial" w:cs="Arial"/>
                <w:b/>
              </w:rPr>
            </w:pPr>
            <w:r w:rsidRPr="0073336A">
              <w:rPr>
                <w:rFonts w:ascii="Arial" w:hAnsi="Arial" w:cs="Arial"/>
                <w:b/>
                <w:sz w:val="22"/>
                <w:szCs w:val="22"/>
              </w:rPr>
              <w:t>q3</w:t>
            </w:r>
          </w:p>
        </w:tc>
        <w:tc>
          <w:tcPr>
            <w:tcW w:w="789" w:type="dxa"/>
            <w:tcBorders>
              <w:top w:val="single" w:sz="6" w:space="0" w:color="CBCBCB"/>
              <w:left w:val="single" w:sz="12"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6D10E01B" w14:textId="77777777" w:rsidR="0073336A" w:rsidRPr="0073336A" w:rsidRDefault="0073336A" w:rsidP="0073336A">
            <w:pPr>
              <w:spacing w:line="240" w:lineRule="atLeast"/>
              <w:ind w:left="45"/>
              <w:jc w:val="center"/>
              <w:rPr>
                <w:rFonts w:ascii="Arial" w:hAnsi="Arial" w:cs="Arial"/>
              </w:rPr>
            </w:pPr>
            <w:r w:rsidRPr="0073336A">
              <w:rPr>
                <w:rFonts w:ascii="Arial" w:hAnsi="Arial" w:cs="Arial"/>
                <w:sz w:val="22"/>
                <w:szCs w:val="22"/>
              </w:rPr>
              <w:t>.300</w:t>
            </w:r>
          </w:p>
        </w:tc>
        <w:tc>
          <w:tcPr>
            <w:tcW w:w="720"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3B725A8E" w14:textId="77777777" w:rsidR="0073336A" w:rsidRPr="0073336A" w:rsidRDefault="0073336A" w:rsidP="0073336A">
            <w:pPr>
              <w:spacing w:line="240" w:lineRule="atLeast"/>
              <w:ind w:left="45"/>
              <w:jc w:val="center"/>
              <w:rPr>
                <w:rFonts w:ascii="Arial" w:hAnsi="Arial" w:cs="Arial"/>
              </w:rPr>
            </w:pPr>
            <w:r w:rsidRPr="0073336A">
              <w:rPr>
                <w:rFonts w:ascii="Arial" w:hAnsi="Arial" w:cs="Arial"/>
                <w:sz w:val="22"/>
                <w:szCs w:val="22"/>
              </w:rPr>
              <w:t>.374</w:t>
            </w:r>
          </w:p>
        </w:tc>
        <w:tc>
          <w:tcPr>
            <w:tcW w:w="78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2D08BF0C" w14:textId="77777777" w:rsidR="0073336A" w:rsidRPr="0073336A" w:rsidRDefault="0073336A" w:rsidP="0073336A">
            <w:pPr>
              <w:spacing w:line="240" w:lineRule="atLeast"/>
              <w:ind w:left="45"/>
              <w:jc w:val="center"/>
              <w:rPr>
                <w:rFonts w:ascii="Arial" w:hAnsi="Arial" w:cs="Arial"/>
              </w:rPr>
            </w:pPr>
            <w:r w:rsidRPr="0073336A">
              <w:rPr>
                <w:rFonts w:ascii="Arial" w:hAnsi="Arial" w:cs="Arial"/>
                <w:sz w:val="22"/>
                <w:szCs w:val="22"/>
              </w:rPr>
              <w:t>.271</w:t>
            </w:r>
          </w:p>
        </w:tc>
        <w:tc>
          <w:tcPr>
            <w:tcW w:w="784"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4395F172" w14:textId="77777777" w:rsidR="0073336A" w:rsidRPr="0073336A" w:rsidRDefault="0073336A" w:rsidP="0073336A">
            <w:pPr>
              <w:spacing w:line="240" w:lineRule="atLeast"/>
              <w:ind w:left="45"/>
              <w:jc w:val="center"/>
              <w:rPr>
                <w:rFonts w:ascii="Arial" w:hAnsi="Arial" w:cs="Arial"/>
              </w:rPr>
            </w:pPr>
            <w:r w:rsidRPr="0073336A">
              <w:rPr>
                <w:rFonts w:ascii="Arial" w:hAnsi="Arial" w:cs="Arial"/>
                <w:sz w:val="22"/>
                <w:szCs w:val="22"/>
              </w:rPr>
              <w:t>1.00</w:t>
            </w:r>
          </w:p>
        </w:tc>
        <w:tc>
          <w:tcPr>
            <w:tcW w:w="83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6A5C8431" w14:textId="77777777" w:rsidR="0073336A" w:rsidRPr="0073336A" w:rsidRDefault="0073336A" w:rsidP="0073336A">
            <w:pPr>
              <w:spacing w:line="240" w:lineRule="atLeast"/>
              <w:ind w:left="45"/>
              <w:jc w:val="center"/>
              <w:rPr>
                <w:rFonts w:ascii="Arial" w:hAnsi="Arial" w:cs="Arial"/>
              </w:rPr>
            </w:pPr>
          </w:p>
        </w:tc>
        <w:tc>
          <w:tcPr>
            <w:tcW w:w="739"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7A484D93" w14:textId="77777777" w:rsidR="0073336A" w:rsidRPr="0073336A" w:rsidRDefault="0073336A" w:rsidP="0073336A">
            <w:pPr>
              <w:spacing w:line="240" w:lineRule="atLeast"/>
              <w:ind w:left="45"/>
              <w:jc w:val="center"/>
              <w:rPr>
                <w:rFonts w:ascii="Arial" w:hAnsi="Arial" w:cs="Arial"/>
              </w:rPr>
            </w:pPr>
          </w:p>
        </w:tc>
        <w:tc>
          <w:tcPr>
            <w:tcW w:w="782"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42D4F152" w14:textId="77777777" w:rsidR="0073336A" w:rsidRPr="0073336A" w:rsidRDefault="0073336A" w:rsidP="0073336A">
            <w:pPr>
              <w:spacing w:line="240" w:lineRule="atLeast"/>
              <w:ind w:left="45"/>
              <w:jc w:val="center"/>
              <w:rPr>
                <w:rFonts w:ascii="Arial" w:hAnsi="Arial" w:cs="Arial"/>
              </w:rPr>
            </w:pPr>
          </w:p>
        </w:tc>
        <w:tc>
          <w:tcPr>
            <w:tcW w:w="689"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7E3AA66F" w14:textId="77777777" w:rsidR="0073336A" w:rsidRPr="0073336A" w:rsidRDefault="0073336A" w:rsidP="0073336A">
            <w:pPr>
              <w:spacing w:line="240" w:lineRule="atLeast"/>
              <w:ind w:left="45"/>
              <w:jc w:val="center"/>
              <w:rPr>
                <w:rFonts w:ascii="Arial" w:hAnsi="Arial" w:cs="Arial"/>
              </w:rPr>
            </w:pPr>
          </w:p>
        </w:tc>
        <w:tc>
          <w:tcPr>
            <w:tcW w:w="835"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2B0FF3C0" w14:textId="77777777" w:rsidR="0073336A" w:rsidRPr="0073336A" w:rsidRDefault="0073336A" w:rsidP="0073336A">
            <w:pPr>
              <w:spacing w:line="240" w:lineRule="atLeast"/>
              <w:ind w:left="45"/>
              <w:jc w:val="center"/>
              <w:rPr>
                <w:rFonts w:ascii="Arial" w:hAnsi="Arial" w:cs="Arial"/>
              </w:rPr>
            </w:pPr>
          </w:p>
        </w:tc>
        <w:tc>
          <w:tcPr>
            <w:tcW w:w="685"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1E06D74E" w14:textId="77777777" w:rsidR="0073336A" w:rsidRPr="0073336A" w:rsidRDefault="0073336A" w:rsidP="0073336A">
            <w:pPr>
              <w:spacing w:line="240" w:lineRule="atLeast"/>
              <w:ind w:left="45"/>
              <w:jc w:val="center"/>
              <w:rPr>
                <w:rFonts w:ascii="Arial" w:hAnsi="Arial" w:cs="Arial"/>
              </w:rPr>
            </w:pPr>
          </w:p>
        </w:tc>
        <w:tc>
          <w:tcPr>
            <w:tcW w:w="690"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077E9AEA" w14:textId="77777777" w:rsidR="0073336A" w:rsidRPr="0073336A" w:rsidRDefault="0073336A" w:rsidP="0073336A">
            <w:pPr>
              <w:spacing w:line="240" w:lineRule="atLeast"/>
              <w:ind w:left="45"/>
              <w:jc w:val="center"/>
              <w:rPr>
                <w:rFonts w:ascii="Arial" w:hAnsi="Arial" w:cs="Arial"/>
              </w:rPr>
            </w:pPr>
          </w:p>
        </w:tc>
        <w:tc>
          <w:tcPr>
            <w:tcW w:w="682"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1F09B2BD" w14:textId="77777777" w:rsidR="0073336A" w:rsidRPr="0073336A" w:rsidRDefault="0073336A" w:rsidP="0073336A">
            <w:pPr>
              <w:spacing w:line="240" w:lineRule="atLeast"/>
              <w:ind w:left="45"/>
              <w:jc w:val="center"/>
              <w:rPr>
                <w:rFonts w:ascii="Arial" w:hAnsi="Arial" w:cs="Arial"/>
              </w:rPr>
            </w:pPr>
          </w:p>
        </w:tc>
        <w:tc>
          <w:tcPr>
            <w:tcW w:w="820"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521ACB2F" w14:textId="77777777" w:rsidR="0073336A" w:rsidRPr="0073336A" w:rsidRDefault="0073336A" w:rsidP="0073336A">
            <w:pPr>
              <w:spacing w:line="240" w:lineRule="atLeast"/>
              <w:ind w:left="45"/>
              <w:jc w:val="center"/>
              <w:rPr>
                <w:rFonts w:ascii="Arial" w:hAnsi="Arial" w:cs="Arial"/>
              </w:rPr>
            </w:pPr>
          </w:p>
        </w:tc>
        <w:tc>
          <w:tcPr>
            <w:tcW w:w="825"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68F1B1B3" w14:textId="77777777" w:rsidR="0073336A" w:rsidRPr="0073336A" w:rsidRDefault="0073336A" w:rsidP="0073336A">
            <w:pPr>
              <w:spacing w:line="240" w:lineRule="atLeast"/>
              <w:ind w:left="45"/>
              <w:jc w:val="center"/>
              <w:rPr>
                <w:rFonts w:ascii="Arial" w:hAnsi="Arial" w:cs="Arial"/>
              </w:rPr>
            </w:pPr>
          </w:p>
        </w:tc>
        <w:tc>
          <w:tcPr>
            <w:tcW w:w="799" w:type="dxa"/>
            <w:tcBorders>
              <w:top w:val="single" w:sz="6" w:space="0" w:color="CBCBCB"/>
              <w:left w:val="single" w:sz="6" w:space="0" w:color="000000"/>
              <w:bottom w:val="single" w:sz="6" w:space="0" w:color="CBCBCB"/>
              <w:right w:val="single" w:sz="12" w:space="0" w:color="000000"/>
            </w:tcBorders>
            <w:shd w:val="clear" w:color="auto" w:fill="FFFFFF"/>
            <w:tcMar>
              <w:top w:w="0" w:type="dxa"/>
              <w:left w:w="75" w:type="dxa"/>
              <w:bottom w:w="0" w:type="dxa"/>
              <w:right w:w="75" w:type="dxa"/>
            </w:tcMar>
            <w:vAlign w:val="center"/>
            <w:hideMark/>
          </w:tcPr>
          <w:p w14:paraId="1B3B01E3" w14:textId="77777777" w:rsidR="0073336A" w:rsidRPr="0073336A" w:rsidRDefault="0073336A" w:rsidP="0073336A">
            <w:pPr>
              <w:spacing w:line="240" w:lineRule="atLeast"/>
              <w:ind w:left="45"/>
              <w:jc w:val="center"/>
              <w:rPr>
                <w:rFonts w:ascii="Arial" w:hAnsi="Arial" w:cs="Arial"/>
              </w:rPr>
            </w:pPr>
          </w:p>
        </w:tc>
      </w:tr>
      <w:tr w:rsidR="000F7069" w:rsidRPr="0073336A" w14:paraId="0FEA160C" w14:textId="77777777" w:rsidTr="000F7069">
        <w:trPr>
          <w:jc w:val="center"/>
        </w:trPr>
        <w:tc>
          <w:tcPr>
            <w:tcW w:w="719" w:type="dxa"/>
            <w:tcBorders>
              <w:top w:val="single" w:sz="6" w:space="0" w:color="CBCBCB"/>
              <w:left w:val="single" w:sz="12" w:space="0" w:color="000000"/>
              <w:bottom w:val="single" w:sz="6" w:space="0" w:color="CBCBCB"/>
              <w:right w:val="single" w:sz="12" w:space="0" w:color="000000"/>
            </w:tcBorders>
            <w:shd w:val="clear" w:color="auto" w:fill="FFFFFF"/>
            <w:tcMar>
              <w:top w:w="0" w:type="dxa"/>
              <w:left w:w="75" w:type="dxa"/>
              <w:bottom w:w="0" w:type="dxa"/>
              <w:right w:w="75" w:type="dxa"/>
            </w:tcMar>
            <w:hideMark/>
          </w:tcPr>
          <w:p w14:paraId="1BABE47B" w14:textId="77777777" w:rsidR="0073336A" w:rsidRPr="0073336A" w:rsidRDefault="0073336A" w:rsidP="0073336A">
            <w:pPr>
              <w:spacing w:line="240" w:lineRule="atLeast"/>
              <w:ind w:left="45"/>
              <w:jc w:val="center"/>
              <w:rPr>
                <w:rFonts w:ascii="Arial" w:hAnsi="Arial" w:cs="Arial"/>
                <w:b/>
              </w:rPr>
            </w:pPr>
            <w:r w:rsidRPr="0073336A">
              <w:rPr>
                <w:rFonts w:ascii="Arial" w:hAnsi="Arial" w:cs="Arial"/>
                <w:b/>
                <w:sz w:val="22"/>
                <w:szCs w:val="22"/>
              </w:rPr>
              <w:t>q3b</w:t>
            </w:r>
          </w:p>
        </w:tc>
        <w:tc>
          <w:tcPr>
            <w:tcW w:w="789" w:type="dxa"/>
            <w:tcBorders>
              <w:top w:val="single" w:sz="6" w:space="0" w:color="CBCBCB"/>
              <w:left w:val="single" w:sz="12"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2C6912A2" w14:textId="77777777" w:rsidR="0073336A" w:rsidRPr="0073336A" w:rsidRDefault="0073336A" w:rsidP="0073336A">
            <w:pPr>
              <w:spacing w:line="240" w:lineRule="atLeast"/>
              <w:ind w:left="45"/>
              <w:jc w:val="center"/>
              <w:rPr>
                <w:rFonts w:ascii="Arial" w:hAnsi="Arial" w:cs="Arial"/>
              </w:rPr>
            </w:pPr>
            <w:r w:rsidRPr="0073336A">
              <w:rPr>
                <w:rFonts w:ascii="Arial" w:hAnsi="Arial" w:cs="Arial"/>
                <w:sz w:val="22"/>
                <w:szCs w:val="22"/>
              </w:rPr>
              <w:t>.364</w:t>
            </w:r>
          </w:p>
        </w:tc>
        <w:tc>
          <w:tcPr>
            <w:tcW w:w="720"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55FCA36C" w14:textId="77777777" w:rsidR="0073336A" w:rsidRPr="0073336A" w:rsidRDefault="0073336A" w:rsidP="0073336A">
            <w:pPr>
              <w:spacing w:line="240" w:lineRule="atLeast"/>
              <w:ind w:left="45"/>
              <w:jc w:val="center"/>
              <w:rPr>
                <w:rFonts w:ascii="Arial" w:hAnsi="Arial" w:cs="Arial"/>
              </w:rPr>
            </w:pPr>
            <w:r w:rsidRPr="0073336A">
              <w:rPr>
                <w:rFonts w:ascii="Arial" w:hAnsi="Arial" w:cs="Arial"/>
                <w:sz w:val="22"/>
                <w:szCs w:val="22"/>
              </w:rPr>
              <w:t>.303</w:t>
            </w:r>
          </w:p>
        </w:tc>
        <w:tc>
          <w:tcPr>
            <w:tcW w:w="78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58164684" w14:textId="77777777" w:rsidR="0073336A" w:rsidRPr="0073336A" w:rsidRDefault="0073336A" w:rsidP="0073336A">
            <w:pPr>
              <w:spacing w:line="240" w:lineRule="atLeast"/>
              <w:ind w:left="45"/>
              <w:jc w:val="center"/>
              <w:rPr>
                <w:rFonts w:ascii="Arial" w:hAnsi="Arial" w:cs="Arial"/>
              </w:rPr>
            </w:pPr>
            <w:r w:rsidRPr="0073336A">
              <w:rPr>
                <w:rFonts w:ascii="Arial" w:hAnsi="Arial" w:cs="Arial"/>
                <w:sz w:val="22"/>
                <w:szCs w:val="22"/>
              </w:rPr>
              <w:t>.501</w:t>
            </w:r>
          </w:p>
        </w:tc>
        <w:tc>
          <w:tcPr>
            <w:tcW w:w="784"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699C1F73" w14:textId="77777777" w:rsidR="0073336A" w:rsidRPr="0073336A" w:rsidRDefault="0073336A" w:rsidP="0073336A">
            <w:pPr>
              <w:spacing w:line="240" w:lineRule="atLeast"/>
              <w:ind w:left="45"/>
              <w:jc w:val="center"/>
              <w:rPr>
                <w:rFonts w:ascii="Arial" w:hAnsi="Arial" w:cs="Arial"/>
              </w:rPr>
            </w:pPr>
            <w:r w:rsidRPr="0073336A">
              <w:rPr>
                <w:rFonts w:ascii="Arial" w:hAnsi="Arial" w:cs="Arial"/>
                <w:sz w:val="22"/>
                <w:szCs w:val="22"/>
              </w:rPr>
              <w:t>.610</w:t>
            </w:r>
          </w:p>
        </w:tc>
        <w:tc>
          <w:tcPr>
            <w:tcW w:w="83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256F7564" w14:textId="77777777" w:rsidR="0073336A" w:rsidRPr="0073336A" w:rsidRDefault="0073336A" w:rsidP="0073336A">
            <w:pPr>
              <w:spacing w:line="240" w:lineRule="atLeast"/>
              <w:ind w:left="45"/>
              <w:jc w:val="center"/>
              <w:rPr>
                <w:rFonts w:ascii="Arial" w:hAnsi="Arial" w:cs="Arial"/>
              </w:rPr>
            </w:pPr>
            <w:r w:rsidRPr="0073336A">
              <w:rPr>
                <w:rFonts w:ascii="Arial" w:hAnsi="Arial" w:cs="Arial"/>
                <w:sz w:val="22"/>
                <w:szCs w:val="22"/>
              </w:rPr>
              <w:t>1.00</w:t>
            </w:r>
          </w:p>
        </w:tc>
        <w:tc>
          <w:tcPr>
            <w:tcW w:w="739"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3FF74569" w14:textId="77777777" w:rsidR="0073336A" w:rsidRPr="0073336A" w:rsidRDefault="0073336A" w:rsidP="0073336A">
            <w:pPr>
              <w:spacing w:line="240" w:lineRule="atLeast"/>
              <w:ind w:left="45"/>
              <w:jc w:val="center"/>
              <w:rPr>
                <w:rFonts w:ascii="Arial" w:hAnsi="Arial" w:cs="Arial"/>
              </w:rPr>
            </w:pPr>
          </w:p>
        </w:tc>
        <w:tc>
          <w:tcPr>
            <w:tcW w:w="782"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0C2E9CF2" w14:textId="77777777" w:rsidR="0073336A" w:rsidRPr="0073336A" w:rsidRDefault="0073336A" w:rsidP="0073336A">
            <w:pPr>
              <w:spacing w:line="240" w:lineRule="atLeast"/>
              <w:ind w:left="45"/>
              <w:jc w:val="center"/>
              <w:rPr>
                <w:rFonts w:ascii="Arial" w:hAnsi="Arial" w:cs="Arial"/>
              </w:rPr>
            </w:pPr>
          </w:p>
        </w:tc>
        <w:tc>
          <w:tcPr>
            <w:tcW w:w="689"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7347B48C" w14:textId="77777777" w:rsidR="0073336A" w:rsidRPr="0073336A" w:rsidRDefault="0073336A" w:rsidP="0073336A">
            <w:pPr>
              <w:spacing w:line="240" w:lineRule="atLeast"/>
              <w:ind w:left="45"/>
              <w:jc w:val="center"/>
              <w:rPr>
                <w:rFonts w:ascii="Arial" w:hAnsi="Arial" w:cs="Arial"/>
              </w:rPr>
            </w:pPr>
          </w:p>
        </w:tc>
        <w:tc>
          <w:tcPr>
            <w:tcW w:w="835"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20E64763" w14:textId="77777777" w:rsidR="0073336A" w:rsidRPr="0073336A" w:rsidRDefault="0073336A" w:rsidP="0073336A">
            <w:pPr>
              <w:spacing w:line="240" w:lineRule="atLeast"/>
              <w:ind w:left="45"/>
              <w:jc w:val="center"/>
              <w:rPr>
                <w:rFonts w:ascii="Arial" w:hAnsi="Arial" w:cs="Arial"/>
              </w:rPr>
            </w:pPr>
          </w:p>
        </w:tc>
        <w:tc>
          <w:tcPr>
            <w:tcW w:w="685"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3D4D636D" w14:textId="77777777" w:rsidR="0073336A" w:rsidRPr="0073336A" w:rsidRDefault="0073336A" w:rsidP="0073336A">
            <w:pPr>
              <w:spacing w:line="240" w:lineRule="atLeast"/>
              <w:ind w:left="45"/>
              <w:jc w:val="center"/>
              <w:rPr>
                <w:rFonts w:ascii="Arial" w:hAnsi="Arial" w:cs="Arial"/>
              </w:rPr>
            </w:pPr>
          </w:p>
        </w:tc>
        <w:tc>
          <w:tcPr>
            <w:tcW w:w="690"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5CEC2ADB" w14:textId="77777777" w:rsidR="0073336A" w:rsidRPr="0073336A" w:rsidRDefault="0073336A" w:rsidP="0073336A">
            <w:pPr>
              <w:spacing w:line="240" w:lineRule="atLeast"/>
              <w:ind w:left="45"/>
              <w:jc w:val="center"/>
              <w:rPr>
                <w:rFonts w:ascii="Arial" w:hAnsi="Arial" w:cs="Arial"/>
              </w:rPr>
            </w:pPr>
          </w:p>
        </w:tc>
        <w:tc>
          <w:tcPr>
            <w:tcW w:w="682"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6B3500BA" w14:textId="77777777" w:rsidR="0073336A" w:rsidRPr="0073336A" w:rsidRDefault="0073336A" w:rsidP="0073336A">
            <w:pPr>
              <w:spacing w:line="240" w:lineRule="atLeast"/>
              <w:ind w:left="45"/>
              <w:jc w:val="center"/>
              <w:rPr>
                <w:rFonts w:ascii="Arial" w:hAnsi="Arial" w:cs="Arial"/>
              </w:rPr>
            </w:pPr>
          </w:p>
        </w:tc>
        <w:tc>
          <w:tcPr>
            <w:tcW w:w="820"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6B69D25C" w14:textId="77777777" w:rsidR="0073336A" w:rsidRPr="0073336A" w:rsidRDefault="0073336A" w:rsidP="0073336A">
            <w:pPr>
              <w:spacing w:line="240" w:lineRule="atLeast"/>
              <w:ind w:left="45"/>
              <w:jc w:val="center"/>
              <w:rPr>
                <w:rFonts w:ascii="Arial" w:hAnsi="Arial" w:cs="Arial"/>
              </w:rPr>
            </w:pPr>
          </w:p>
        </w:tc>
        <w:tc>
          <w:tcPr>
            <w:tcW w:w="825"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55B7F7C0" w14:textId="77777777" w:rsidR="0073336A" w:rsidRPr="0073336A" w:rsidRDefault="0073336A" w:rsidP="0073336A">
            <w:pPr>
              <w:spacing w:line="240" w:lineRule="atLeast"/>
              <w:ind w:left="45"/>
              <w:jc w:val="center"/>
              <w:rPr>
                <w:rFonts w:ascii="Arial" w:hAnsi="Arial" w:cs="Arial"/>
              </w:rPr>
            </w:pPr>
          </w:p>
        </w:tc>
        <w:tc>
          <w:tcPr>
            <w:tcW w:w="799" w:type="dxa"/>
            <w:tcBorders>
              <w:top w:val="single" w:sz="6" w:space="0" w:color="CBCBCB"/>
              <w:left w:val="single" w:sz="6" w:space="0" w:color="000000"/>
              <w:bottom w:val="single" w:sz="6" w:space="0" w:color="CBCBCB"/>
              <w:right w:val="single" w:sz="12" w:space="0" w:color="000000"/>
            </w:tcBorders>
            <w:shd w:val="clear" w:color="auto" w:fill="FFFFFF"/>
            <w:tcMar>
              <w:top w:w="0" w:type="dxa"/>
              <w:left w:w="75" w:type="dxa"/>
              <w:bottom w:w="0" w:type="dxa"/>
              <w:right w:w="75" w:type="dxa"/>
            </w:tcMar>
            <w:vAlign w:val="center"/>
            <w:hideMark/>
          </w:tcPr>
          <w:p w14:paraId="0DA862FC" w14:textId="77777777" w:rsidR="0073336A" w:rsidRPr="0073336A" w:rsidRDefault="0073336A" w:rsidP="0073336A">
            <w:pPr>
              <w:spacing w:line="240" w:lineRule="atLeast"/>
              <w:ind w:left="45"/>
              <w:jc w:val="center"/>
              <w:rPr>
                <w:rFonts w:ascii="Arial" w:hAnsi="Arial" w:cs="Arial"/>
              </w:rPr>
            </w:pPr>
          </w:p>
        </w:tc>
      </w:tr>
      <w:tr w:rsidR="000F7069" w:rsidRPr="0073336A" w14:paraId="49EC4118" w14:textId="77777777" w:rsidTr="000F7069">
        <w:trPr>
          <w:trHeight w:val="264"/>
          <w:jc w:val="center"/>
        </w:trPr>
        <w:tc>
          <w:tcPr>
            <w:tcW w:w="719" w:type="dxa"/>
            <w:tcBorders>
              <w:top w:val="single" w:sz="6" w:space="0" w:color="CBCBCB"/>
              <w:left w:val="single" w:sz="12" w:space="0" w:color="000000"/>
              <w:bottom w:val="single" w:sz="6" w:space="0" w:color="CBCBCB"/>
              <w:right w:val="single" w:sz="12" w:space="0" w:color="000000"/>
            </w:tcBorders>
            <w:shd w:val="clear" w:color="auto" w:fill="FFFFFF"/>
            <w:tcMar>
              <w:top w:w="0" w:type="dxa"/>
              <w:left w:w="75" w:type="dxa"/>
              <w:bottom w:w="0" w:type="dxa"/>
              <w:right w:w="75" w:type="dxa"/>
            </w:tcMar>
            <w:hideMark/>
          </w:tcPr>
          <w:p w14:paraId="225C7C30" w14:textId="77777777" w:rsidR="0073336A" w:rsidRPr="0073336A" w:rsidRDefault="0073336A" w:rsidP="0073336A">
            <w:pPr>
              <w:spacing w:line="240" w:lineRule="atLeast"/>
              <w:ind w:left="45"/>
              <w:jc w:val="center"/>
              <w:rPr>
                <w:rFonts w:ascii="Arial" w:hAnsi="Arial" w:cs="Arial"/>
                <w:b/>
              </w:rPr>
            </w:pPr>
            <w:r w:rsidRPr="0073336A">
              <w:rPr>
                <w:rFonts w:ascii="Arial" w:hAnsi="Arial" w:cs="Arial"/>
                <w:b/>
                <w:sz w:val="22"/>
                <w:szCs w:val="22"/>
              </w:rPr>
              <w:t>q4</w:t>
            </w:r>
          </w:p>
        </w:tc>
        <w:tc>
          <w:tcPr>
            <w:tcW w:w="789" w:type="dxa"/>
            <w:tcBorders>
              <w:top w:val="single" w:sz="6" w:space="0" w:color="CBCBCB"/>
              <w:left w:val="single" w:sz="12"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51150F42" w14:textId="77777777" w:rsidR="0073336A" w:rsidRPr="0073336A" w:rsidRDefault="0073336A" w:rsidP="0073336A">
            <w:pPr>
              <w:spacing w:line="240" w:lineRule="atLeast"/>
              <w:ind w:left="45"/>
              <w:jc w:val="center"/>
              <w:rPr>
                <w:rFonts w:ascii="Arial" w:hAnsi="Arial" w:cs="Arial"/>
              </w:rPr>
            </w:pPr>
            <w:r w:rsidRPr="0073336A">
              <w:rPr>
                <w:rFonts w:ascii="Arial" w:hAnsi="Arial" w:cs="Arial"/>
                <w:sz w:val="22"/>
                <w:szCs w:val="22"/>
              </w:rPr>
              <w:t>.350</w:t>
            </w:r>
          </w:p>
        </w:tc>
        <w:tc>
          <w:tcPr>
            <w:tcW w:w="720"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2FF73E4E" w14:textId="77777777" w:rsidR="0073336A" w:rsidRPr="0073336A" w:rsidRDefault="0073336A" w:rsidP="0073336A">
            <w:pPr>
              <w:spacing w:line="240" w:lineRule="atLeast"/>
              <w:ind w:left="45"/>
              <w:jc w:val="center"/>
              <w:rPr>
                <w:rFonts w:ascii="Arial" w:hAnsi="Arial" w:cs="Arial"/>
              </w:rPr>
            </w:pPr>
            <w:r w:rsidRPr="0073336A">
              <w:rPr>
                <w:rFonts w:ascii="Arial" w:hAnsi="Arial" w:cs="Arial"/>
                <w:sz w:val="22"/>
                <w:szCs w:val="22"/>
              </w:rPr>
              <w:t>.390</w:t>
            </w:r>
          </w:p>
        </w:tc>
        <w:tc>
          <w:tcPr>
            <w:tcW w:w="78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3B1DFC52" w14:textId="77777777" w:rsidR="0073336A" w:rsidRPr="0073336A" w:rsidRDefault="0073336A" w:rsidP="0073336A">
            <w:pPr>
              <w:spacing w:line="240" w:lineRule="atLeast"/>
              <w:ind w:left="45"/>
              <w:jc w:val="center"/>
              <w:rPr>
                <w:rFonts w:ascii="Arial" w:hAnsi="Arial" w:cs="Arial"/>
              </w:rPr>
            </w:pPr>
            <w:r w:rsidRPr="0073336A">
              <w:rPr>
                <w:rFonts w:ascii="Arial" w:hAnsi="Arial" w:cs="Arial"/>
                <w:sz w:val="22"/>
                <w:szCs w:val="22"/>
              </w:rPr>
              <w:t>.366</w:t>
            </w:r>
          </w:p>
        </w:tc>
        <w:tc>
          <w:tcPr>
            <w:tcW w:w="784"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0865A24B" w14:textId="77777777" w:rsidR="0073336A" w:rsidRPr="0073336A" w:rsidRDefault="0073336A" w:rsidP="0073336A">
            <w:pPr>
              <w:spacing w:line="240" w:lineRule="atLeast"/>
              <w:ind w:left="45"/>
              <w:jc w:val="center"/>
              <w:rPr>
                <w:rFonts w:ascii="Arial" w:hAnsi="Arial" w:cs="Arial"/>
              </w:rPr>
            </w:pPr>
            <w:r w:rsidRPr="0073336A">
              <w:rPr>
                <w:rFonts w:ascii="Arial" w:hAnsi="Arial" w:cs="Arial"/>
                <w:sz w:val="22"/>
                <w:szCs w:val="22"/>
              </w:rPr>
              <w:t>.517</w:t>
            </w:r>
          </w:p>
        </w:tc>
        <w:tc>
          <w:tcPr>
            <w:tcW w:w="83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3E0FDC2E" w14:textId="77777777" w:rsidR="0073336A" w:rsidRPr="0073336A" w:rsidRDefault="0073336A" w:rsidP="0073336A">
            <w:pPr>
              <w:spacing w:line="240" w:lineRule="atLeast"/>
              <w:ind w:left="45"/>
              <w:jc w:val="center"/>
              <w:rPr>
                <w:rFonts w:ascii="Arial" w:hAnsi="Arial" w:cs="Arial"/>
              </w:rPr>
            </w:pPr>
            <w:r w:rsidRPr="0073336A">
              <w:rPr>
                <w:rFonts w:ascii="Arial" w:hAnsi="Arial" w:cs="Arial"/>
                <w:sz w:val="22"/>
                <w:szCs w:val="22"/>
              </w:rPr>
              <w:t>.359</w:t>
            </w:r>
          </w:p>
        </w:tc>
        <w:tc>
          <w:tcPr>
            <w:tcW w:w="739"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017EAEC0" w14:textId="77777777" w:rsidR="0073336A" w:rsidRPr="0073336A" w:rsidRDefault="0073336A" w:rsidP="0073336A">
            <w:pPr>
              <w:spacing w:line="240" w:lineRule="atLeast"/>
              <w:ind w:left="45"/>
              <w:jc w:val="center"/>
              <w:rPr>
                <w:rFonts w:ascii="Arial" w:hAnsi="Arial" w:cs="Arial"/>
              </w:rPr>
            </w:pPr>
            <w:r w:rsidRPr="0073336A">
              <w:rPr>
                <w:rFonts w:ascii="Arial" w:hAnsi="Arial" w:cs="Arial"/>
                <w:sz w:val="22"/>
                <w:szCs w:val="22"/>
              </w:rPr>
              <w:t>1.00</w:t>
            </w:r>
          </w:p>
        </w:tc>
        <w:tc>
          <w:tcPr>
            <w:tcW w:w="782"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7402ADA6" w14:textId="77777777" w:rsidR="0073336A" w:rsidRPr="0073336A" w:rsidRDefault="0073336A" w:rsidP="0073336A">
            <w:pPr>
              <w:spacing w:line="240" w:lineRule="atLeast"/>
              <w:ind w:left="45"/>
              <w:jc w:val="center"/>
              <w:rPr>
                <w:rFonts w:ascii="Arial" w:hAnsi="Arial" w:cs="Arial"/>
              </w:rPr>
            </w:pPr>
          </w:p>
        </w:tc>
        <w:tc>
          <w:tcPr>
            <w:tcW w:w="689"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25CCB876" w14:textId="77777777" w:rsidR="0073336A" w:rsidRPr="0073336A" w:rsidRDefault="0073336A" w:rsidP="0073336A">
            <w:pPr>
              <w:spacing w:line="240" w:lineRule="atLeast"/>
              <w:ind w:left="45"/>
              <w:jc w:val="center"/>
              <w:rPr>
                <w:rFonts w:ascii="Arial" w:hAnsi="Arial" w:cs="Arial"/>
              </w:rPr>
            </w:pPr>
          </w:p>
        </w:tc>
        <w:tc>
          <w:tcPr>
            <w:tcW w:w="835"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39CD4F53" w14:textId="77777777" w:rsidR="0073336A" w:rsidRPr="0073336A" w:rsidRDefault="0073336A" w:rsidP="0073336A">
            <w:pPr>
              <w:spacing w:line="240" w:lineRule="atLeast"/>
              <w:ind w:left="45"/>
              <w:jc w:val="center"/>
              <w:rPr>
                <w:rFonts w:ascii="Arial" w:hAnsi="Arial" w:cs="Arial"/>
              </w:rPr>
            </w:pPr>
          </w:p>
        </w:tc>
        <w:tc>
          <w:tcPr>
            <w:tcW w:w="685"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1468EF6F" w14:textId="77777777" w:rsidR="0073336A" w:rsidRPr="0073336A" w:rsidRDefault="0073336A" w:rsidP="0073336A">
            <w:pPr>
              <w:spacing w:line="240" w:lineRule="atLeast"/>
              <w:ind w:left="45"/>
              <w:jc w:val="center"/>
              <w:rPr>
                <w:rFonts w:ascii="Arial" w:hAnsi="Arial" w:cs="Arial"/>
              </w:rPr>
            </w:pPr>
          </w:p>
        </w:tc>
        <w:tc>
          <w:tcPr>
            <w:tcW w:w="690"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18B6255B" w14:textId="77777777" w:rsidR="0073336A" w:rsidRPr="0073336A" w:rsidRDefault="0073336A" w:rsidP="0073336A">
            <w:pPr>
              <w:spacing w:line="240" w:lineRule="atLeast"/>
              <w:ind w:left="45"/>
              <w:jc w:val="center"/>
              <w:rPr>
                <w:rFonts w:ascii="Arial" w:hAnsi="Arial" w:cs="Arial"/>
              </w:rPr>
            </w:pPr>
          </w:p>
        </w:tc>
        <w:tc>
          <w:tcPr>
            <w:tcW w:w="682"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1EC3D819" w14:textId="77777777" w:rsidR="0073336A" w:rsidRPr="0073336A" w:rsidRDefault="0073336A" w:rsidP="0073336A">
            <w:pPr>
              <w:spacing w:line="240" w:lineRule="atLeast"/>
              <w:ind w:left="45"/>
              <w:jc w:val="center"/>
              <w:rPr>
                <w:rFonts w:ascii="Arial" w:hAnsi="Arial" w:cs="Arial"/>
              </w:rPr>
            </w:pPr>
          </w:p>
        </w:tc>
        <w:tc>
          <w:tcPr>
            <w:tcW w:w="820"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5A45E7DC" w14:textId="77777777" w:rsidR="0073336A" w:rsidRPr="0073336A" w:rsidRDefault="0073336A" w:rsidP="0073336A">
            <w:pPr>
              <w:spacing w:line="240" w:lineRule="atLeast"/>
              <w:ind w:left="45"/>
              <w:jc w:val="center"/>
              <w:rPr>
                <w:rFonts w:ascii="Arial" w:hAnsi="Arial" w:cs="Arial"/>
              </w:rPr>
            </w:pPr>
          </w:p>
        </w:tc>
        <w:tc>
          <w:tcPr>
            <w:tcW w:w="825"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46DCC647" w14:textId="77777777" w:rsidR="0073336A" w:rsidRPr="0073336A" w:rsidRDefault="0073336A" w:rsidP="0073336A">
            <w:pPr>
              <w:spacing w:line="240" w:lineRule="atLeast"/>
              <w:ind w:left="45"/>
              <w:jc w:val="center"/>
              <w:rPr>
                <w:rFonts w:ascii="Arial" w:hAnsi="Arial" w:cs="Arial"/>
              </w:rPr>
            </w:pPr>
          </w:p>
        </w:tc>
        <w:tc>
          <w:tcPr>
            <w:tcW w:w="799" w:type="dxa"/>
            <w:tcBorders>
              <w:top w:val="single" w:sz="6" w:space="0" w:color="CBCBCB"/>
              <w:left w:val="single" w:sz="6" w:space="0" w:color="000000"/>
              <w:bottom w:val="single" w:sz="6" w:space="0" w:color="CBCBCB"/>
              <w:right w:val="single" w:sz="12" w:space="0" w:color="000000"/>
            </w:tcBorders>
            <w:shd w:val="clear" w:color="auto" w:fill="FFFFFF"/>
            <w:tcMar>
              <w:top w:w="0" w:type="dxa"/>
              <w:left w:w="75" w:type="dxa"/>
              <w:bottom w:w="0" w:type="dxa"/>
              <w:right w:w="75" w:type="dxa"/>
            </w:tcMar>
            <w:vAlign w:val="center"/>
            <w:hideMark/>
          </w:tcPr>
          <w:p w14:paraId="1EAF6617" w14:textId="77777777" w:rsidR="0073336A" w:rsidRPr="0073336A" w:rsidRDefault="0073336A" w:rsidP="0073336A">
            <w:pPr>
              <w:spacing w:line="240" w:lineRule="atLeast"/>
              <w:ind w:left="45"/>
              <w:jc w:val="center"/>
              <w:rPr>
                <w:rFonts w:ascii="Arial" w:hAnsi="Arial" w:cs="Arial"/>
              </w:rPr>
            </w:pPr>
          </w:p>
        </w:tc>
      </w:tr>
      <w:tr w:rsidR="000F7069" w:rsidRPr="0073336A" w14:paraId="239B9476" w14:textId="77777777" w:rsidTr="000F7069">
        <w:trPr>
          <w:jc w:val="center"/>
        </w:trPr>
        <w:tc>
          <w:tcPr>
            <w:tcW w:w="719" w:type="dxa"/>
            <w:tcBorders>
              <w:top w:val="single" w:sz="6" w:space="0" w:color="CBCBCB"/>
              <w:left w:val="single" w:sz="12" w:space="0" w:color="000000"/>
              <w:bottom w:val="single" w:sz="6" w:space="0" w:color="CBCBCB"/>
              <w:right w:val="single" w:sz="12" w:space="0" w:color="000000"/>
            </w:tcBorders>
            <w:shd w:val="clear" w:color="auto" w:fill="FFFFFF"/>
            <w:tcMar>
              <w:top w:w="0" w:type="dxa"/>
              <w:left w:w="75" w:type="dxa"/>
              <w:bottom w:w="0" w:type="dxa"/>
              <w:right w:w="75" w:type="dxa"/>
            </w:tcMar>
            <w:hideMark/>
          </w:tcPr>
          <w:p w14:paraId="078A0D2A" w14:textId="77777777" w:rsidR="0073336A" w:rsidRPr="0073336A" w:rsidRDefault="0073336A" w:rsidP="0073336A">
            <w:pPr>
              <w:spacing w:line="240" w:lineRule="atLeast"/>
              <w:ind w:left="45"/>
              <w:jc w:val="center"/>
              <w:rPr>
                <w:rFonts w:ascii="Arial" w:hAnsi="Arial" w:cs="Arial"/>
                <w:b/>
              </w:rPr>
            </w:pPr>
            <w:r w:rsidRPr="0073336A">
              <w:rPr>
                <w:rFonts w:ascii="Arial" w:hAnsi="Arial" w:cs="Arial"/>
                <w:b/>
                <w:sz w:val="22"/>
                <w:szCs w:val="22"/>
              </w:rPr>
              <w:t>q4b</w:t>
            </w:r>
          </w:p>
        </w:tc>
        <w:tc>
          <w:tcPr>
            <w:tcW w:w="789" w:type="dxa"/>
            <w:tcBorders>
              <w:top w:val="single" w:sz="6" w:space="0" w:color="CBCBCB"/>
              <w:left w:val="single" w:sz="12"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5627B6C2" w14:textId="77777777" w:rsidR="0073336A" w:rsidRPr="0073336A" w:rsidRDefault="0073336A" w:rsidP="0073336A">
            <w:pPr>
              <w:spacing w:line="240" w:lineRule="atLeast"/>
              <w:ind w:left="45"/>
              <w:jc w:val="center"/>
              <w:rPr>
                <w:rFonts w:ascii="Arial" w:hAnsi="Arial" w:cs="Arial"/>
              </w:rPr>
            </w:pPr>
            <w:r w:rsidRPr="0073336A">
              <w:rPr>
                <w:rFonts w:ascii="Arial" w:hAnsi="Arial" w:cs="Arial"/>
                <w:sz w:val="22"/>
                <w:szCs w:val="22"/>
              </w:rPr>
              <w:t>.364</w:t>
            </w:r>
          </w:p>
        </w:tc>
        <w:tc>
          <w:tcPr>
            <w:tcW w:w="720"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4C9B1AA6" w14:textId="77777777" w:rsidR="0073336A" w:rsidRPr="0073336A" w:rsidRDefault="0073336A" w:rsidP="0073336A">
            <w:pPr>
              <w:spacing w:line="240" w:lineRule="atLeast"/>
              <w:ind w:left="45"/>
              <w:jc w:val="center"/>
              <w:rPr>
                <w:rFonts w:ascii="Arial" w:hAnsi="Arial" w:cs="Arial"/>
              </w:rPr>
            </w:pPr>
            <w:r w:rsidRPr="0073336A">
              <w:rPr>
                <w:rFonts w:ascii="Arial" w:hAnsi="Arial" w:cs="Arial"/>
                <w:sz w:val="22"/>
                <w:szCs w:val="22"/>
              </w:rPr>
              <w:t>.313</w:t>
            </w:r>
          </w:p>
        </w:tc>
        <w:tc>
          <w:tcPr>
            <w:tcW w:w="78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755A3AE7" w14:textId="77777777" w:rsidR="0073336A" w:rsidRPr="0073336A" w:rsidRDefault="0073336A" w:rsidP="0073336A">
            <w:pPr>
              <w:spacing w:line="240" w:lineRule="atLeast"/>
              <w:ind w:left="45"/>
              <w:jc w:val="center"/>
              <w:rPr>
                <w:rFonts w:ascii="Arial" w:hAnsi="Arial" w:cs="Arial"/>
              </w:rPr>
            </w:pPr>
            <w:r w:rsidRPr="0073336A">
              <w:rPr>
                <w:rFonts w:ascii="Arial" w:hAnsi="Arial" w:cs="Arial"/>
                <w:sz w:val="22"/>
                <w:szCs w:val="22"/>
              </w:rPr>
              <w:t>.494</w:t>
            </w:r>
          </w:p>
        </w:tc>
        <w:tc>
          <w:tcPr>
            <w:tcW w:w="784"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21929FA3" w14:textId="77777777" w:rsidR="0073336A" w:rsidRPr="0073336A" w:rsidRDefault="0073336A" w:rsidP="0073336A">
            <w:pPr>
              <w:spacing w:line="240" w:lineRule="atLeast"/>
              <w:ind w:left="45"/>
              <w:jc w:val="center"/>
              <w:rPr>
                <w:rFonts w:ascii="Arial" w:hAnsi="Arial" w:cs="Arial"/>
              </w:rPr>
            </w:pPr>
            <w:r w:rsidRPr="0073336A">
              <w:rPr>
                <w:rFonts w:ascii="Arial" w:hAnsi="Arial" w:cs="Arial"/>
                <w:sz w:val="22"/>
                <w:szCs w:val="22"/>
              </w:rPr>
              <w:t>.364</w:t>
            </w:r>
          </w:p>
        </w:tc>
        <w:tc>
          <w:tcPr>
            <w:tcW w:w="83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11030377" w14:textId="77777777" w:rsidR="0073336A" w:rsidRPr="0073336A" w:rsidRDefault="0073336A" w:rsidP="0073336A">
            <w:pPr>
              <w:spacing w:line="240" w:lineRule="atLeast"/>
              <w:ind w:left="45"/>
              <w:jc w:val="center"/>
              <w:rPr>
                <w:rFonts w:ascii="Arial" w:hAnsi="Arial" w:cs="Arial"/>
              </w:rPr>
            </w:pPr>
            <w:r w:rsidRPr="0073336A">
              <w:rPr>
                <w:rFonts w:ascii="Arial" w:hAnsi="Arial" w:cs="Arial"/>
                <w:sz w:val="22"/>
                <w:szCs w:val="22"/>
              </w:rPr>
              <w:t>.495</w:t>
            </w:r>
          </w:p>
        </w:tc>
        <w:tc>
          <w:tcPr>
            <w:tcW w:w="739"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3BA89824" w14:textId="77777777" w:rsidR="0073336A" w:rsidRPr="0073336A" w:rsidRDefault="0073336A" w:rsidP="0073336A">
            <w:pPr>
              <w:spacing w:line="240" w:lineRule="atLeast"/>
              <w:ind w:left="45"/>
              <w:jc w:val="center"/>
              <w:rPr>
                <w:rFonts w:ascii="Arial" w:hAnsi="Arial" w:cs="Arial"/>
              </w:rPr>
            </w:pPr>
            <w:r w:rsidRPr="0073336A">
              <w:rPr>
                <w:rFonts w:ascii="Arial" w:hAnsi="Arial" w:cs="Arial"/>
                <w:sz w:val="22"/>
                <w:szCs w:val="22"/>
              </w:rPr>
              <w:t>.638</w:t>
            </w:r>
          </w:p>
        </w:tc>
        <w:tc>
          <w:tcPr>
            <w:tcW w:w="782"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4DE1617D" w14:textId="77777777" w:rsidR="0073336A" w:rsidRPr="0073336A" w:rsidRDefault="0073336A" w:rsidP="0073336A">
            <w:pPr>
              <w:spacing w:line="240" w:lineRule="atLeast"/>
              <w:ind w:left="45"/>
              <w:jc w:val="center"/>
              <w:rPr>
                <w:rFonts w:ascii="Arial" w:hAnsi="Arial" w:cs="Arial"/>
              </w:rPr>
            </w:pPr>
            <w:r w:rsidRPr="0073336A">
              <w:rPr>
                <w:rFonts w:ascii="Arial" w:hAnsi="Arial" w:cs="Arial"/>
                <w:sz w:val="22"/>
                <w:szCs w:val="22"/>
              </w:rPr>
              <w:t>1.00</w:t>
            </w:r>
          </w:p>
        </w:tc>
        <w:tc>
          <w:tcPr>
            <w:tcW w:w="689"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5A65CC07" w14:textId="77777777" w:rsidR="0073336A" w:rsidRPr="0073336A" w:rsidRDefault="0073336A" w:rsidP="0073336A">
            <w:pPr>
              <w:spacing w:line="240" w:lineRule="atLeast"/>
              <w:ind w:left="45"/>
              <w:jc w:val="center"/>
              <w:rPr>
                <w:rFonts w:ascii="Arial" w:hAnsi="Arial" w:cs="Arial"/>
              </w:rPr>
            </w:pPr>
          </w:p>
        </w:tc>
        <w:tc>
          <w:tcPr>
            <w:tcW w:w="835"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0E511DA9" w14:textId="77777777" w:rsidR="0073336A" w:rsidRPr="0073336A" w:rsidRDefault="0073336A" w:rsidP="0073336A">
            <w:pPr>
              <w:spacing w:line="240" w:lineRule="atLeast"/>
              <w:ind w:left="45"/>
              <w:jc w:val="center"/>
              <w:rPr>
                <w:rFonts w:ascii="Arial" w:hAnsi="Arial" w:cs="Arial"/>
              </w:rPr>
            </w:pPr>
          </w:p>
        </w:tc>
        <w:tc>
          <w:tcPr>
            <w:tcW w:w="685"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58EB8C33" w14:textId="77777777" w:rsidR="0073336A" w:rsidRPr="0073336A" w:rsidRDefault="0073336A" w:rsidP="0073336A">
            <w:pPr>
              <w:spacing w:line="240" w:lineRule="atLeast"/>
              <w:ind w:left="45"/>
              <w:jc w:val="center"/>
              <w:rPr>
                <w:rFonts w:ascii="Arial" w:hAnsi="Arial" w:cs="Arial"/>
              </w:rPr>
            </w:pPr>
          </w:p>
        </w:tc>
        <w:tc>
          <w:tcPr>
            <w:tcW w:w="690"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5F6E5605" w14:textId="77777777" w:rsidR="0073336A" w:rsidRPr="0073336A" w:rsidRDefault="0073336A" w:rsidP="0073336A">
            <w:pPr>
              <w:spacing w:line="240" w:lineRule="atLeast"/>
              <w:ind w:left="45"/>
              <w:jc w:val="center"/>
              <w:rPr>
                <w:rFonts w:ascii="Arial" w:hAnsi="Arial" w:cs="Arial"/>
              </w:rPr>
            </w:pPr>
          </w:p>
        </w:tc>
        <w:tc>
          <w:tcPr>
            <w:tcW w:w="682"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26E6E153" w14:textId="77777777" w:rsidR="0073336A" w:rsidRPr="0073336A" w:rsidRDefault="0073336A" w:rsidP="0073336A">
            <w:pPr>
              <w:spacing w:line="240" w:lineRule="atLeast"/>
              <w:ind w:left="45"/>
              <w:jc w:val="center"/>
              <w:rPr>
                <w:rFonts w:ascii="Arial" w:hAnsi="Arial" w:cs="Arial"/>
              </w:rPr>
            </w:pPr>
          </w:p>
        </w:tc>
        <w:tc>
          <w:tcPr>
            <w:tcW w:w="820"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025EE906" w14:textId="77777777" w:rsidR="0073336A" w:rsidRPr="0073336A" w:rsidRDefault="0073336A" w:rsidP="0073336A">
            <w:pPr>
              <w:spacing w:line="240" w:lineRule="atLeast"/>
              <w:ind w:left="45"/>
              <w:jc w:val="center"/>
              <w:rPr>
                <w:rFonts w:ascii="Arial" w:hAnsi="Arial" w:cs="Arial"/>
              </w:rPr>
            </w:pPr>
          </w:p>
        </w:tc>
        <w:tc>
          <w:tcPr>
            <w:tcW w:w="825"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0E1E43AE" w14:textId="77777777" w:rsidR="0073336A" w:rsidRPr="0073336A" w:rsidRDefault="0073336A" w:rsidP="0073336A">
            <w:pPr>
              <w:spacing w:line="240" w:lineRule="atLeast"/>
              <w:ind w:left="45"/>
              <w:jc w:val="center"/>
              <w:rPr>
                <w:rFonts w:ascii="Arial" w:hAnsi="Arial" w:cs="Arial"/>
              </w:rPr>
            </w:pPr>
          </w:p>
        </w:tc>
        <w:tc>
          <w:tcPr>
            <w:tcW w:w="799" w:type="dxa"/>
            <w:tcBorders>
              <w:top w:val="single" w:sz="6" w:space="0" w:color="CBCBCB"/>
              <w:left w:val="single" w:sz="6" w:space="0" w:color="000000"/>
              <w:bottom w:val="single" w:sz="6" w:space="0" w:color="CBCBCB"/>
              <w:right w:val="single" w:sz="12" w:space="0" w:color="000000"/>
            </w:tcBorders>
            <w:shd w:val="clear" w:color="auto" w:fill="FFFFFF"/>
            <w:tcMar>
              <w:top w:w="0" w:type="dxa"/>
              <w:left w:w="75" w:type="dxa"/>
              <w:bottom w:w="0" w:type="dxa"/>
              <w:right w:w="75" w:type="dxa"/>
            </w:tcMar>
            <w:vAlign w:val="center"/>
            <w:hideMark/>
          </w:tcPr>
          <w:p w14:paraId="3A171C0B" w14:textId="77777777" w:rsidR="0073336A" w:rsidRPr="0073336A" w:rsidRDefault="0073336A" w:rsidP="0073336A">
            <w:pPr>
              <w:spacing w:line="240" w:lineRule="atLeast"/>
              <w:ind w:left="45"/>
              <w:jc w:val="center"/>
              <w:rPr>
                <w:rFonts w:ascii="Arial" w:hAnsi="Arial" w:cs="Arial"/>
              </w:rPr>
            </w:pPr>
          </w:p>
        </w:tc>
      </w:tr>
      <w:tr w:rsidR="000F7069" w:rsidRPr="0073336A" w14:paraId="07712CE6" w14:textId="77777777" w:rsidTr="000F7069">
        <w:trPr>
          <w:jc w:val="center"/>
        </w:trPr>
        <w:tc>
          <w:tcPr>
            <w:tcW w:w="719" w:type="dxa"/>
            <w:tcBorders>
              <w:top w:val="single" w:sz="6" w:space="0" w:color="CBCBCB"/>
              <w:left w:val="single" w:sz="12" w:space="0" w:color="000000"/>
              <w:bottom w:val="single" w:sz="6" w:space="0" w:color="CBCBCB"/>
              <w:right w:val="single" w:sz="12" w:space="0" w:color="000000"/>
            </w:tcBorders>
            <w:shd w:val="clear" w:color="auto" w:fill="FFFFFF"/>
            <w:tcMar>
              <w:top w:w="0" w:type="dxa"/>
              <w:left w:w="75" w:type="dxa"/>
              <w:bottom w:w="0" w:type="dxa"/>
              <w:right w:w="75" w:type="dxa"/>
            </w:tcMar>
            <w:hideMark/>
          </w:tcPr>
          <w:p w14:paraId="229B2AC4" w14:textId="77777777" w:rsidR="0073336A" w:rsidRPr="0073336A" w:rsidRDefault="0073336A" w:rsidP="0073336A">
            <w:pPr>
              <w:spacing w:line="240" w:lineRule="atLeast"/>
              <w:ind w:left="45"/>
              <w:jc w:val="center"/>
              <w:rPr>
                <w:rFonts w:ascii="Arial" w:hAnsi="Arial" w:cs="Arial"/>
                <w:b/>
              </w:rPr>
            </w:pPr>
            <w:r w:rsidRPr="0073336A">
              <w:rPr>
                <w:rFonts w:ascii="Arial" w:hAnsi="Arial" w:cs="Arial"/>
                <w:b/>
                <w:sz w:val="22"/>
                <w:szCs w:val="22"/>
              </w:rPr>
              <w:t>q5</w:t>
            </w:r>
          </w:p>
        </w:tc>
        <w:tc>
          <w:tcPr>
            <w:tcW w:w="789" w:type="dxa"/>
            <w:tcBorders>
              <w:top w:val="single" w:sz="6" w:space="0" w:color="CBCBCB"/>
              <w:left w:val="single" w:sz="12"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35C46803" w14:textId="77777777" w:rsidR="0073336A" w:rsidRPr="0073336A" w:rsidRDefault="0073336A" w:rsidP="0073336A">
            <w:pPr>
              <w:spacing w:line="240" w:lineRule="atLeast"/>
              <w:ind w:left="45"/>
              <w:jc w:val="center"/>
              <w:rPr>
                <w:rFonts w:ascii="Arial" w:hAnsi="Arial" w:cs="Arial"/>
              </w:rPr>
            </w:pPr>
            <w:r w:rsidRPr="0073336A">
              <w:rPr>
                <w:rFonts w:ascii="Arial" w:hAnsi="Arial" w:cs="Arial"/>
                <w:sz w:val="22"/>
                <w:szCs w:val="22"/>
              </w:rPr>
              <w:t>.542</w:t>
            </w:r>
          </w:p>
        </w:tc>
        <w:tc>
          <w:tcPr>
            <w:tcW w:w="720"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4AD70784" w14:textId="77777777" w:rsidR="0073336A" w:rsidRPr="0073336A" w:rsidRDefault="0073336A" w:rsidP="0073336A">
            <w:pPr>
              <w:spacing w:line="240" w:lineRule="atLeast"/>
              <w:ind w:left="45"/>
              <w:jc w:val="center"/>
              <w:rPr>
                <w:rFonts w:ascii="Arial" w:hAnsi="Arial" w:cs="Arial"/>
              </w:rPr>
            </w:pPr>
            <w:r w:rsidRPr="0073336A">
              <w:rPr>
                <w:rFonts w:ascii="Arial" w:hAnsi="Arial" w:cs="Arial"/>
                <w:sz w:val="22"/>
                <w:szCs w:val="22"/>
              </w:rPr>
              <w:t>.325</w:t>
            </w:r>
          </w:p>
        </w:tc>
        <w:tc>
          <w:tcPr>
            <w:tcW w:w="78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36483748" w14:textId="77777777" w:rsidR="0073336A" w:rsidRPr="0073336A" w:rsidRDefault="0073336A" w:rsidP="0073336A">
            <w:pPr>
              <w:spacing w:line="240" w:lineRule="atLeast"/>
              <w:ind w:left="45"/>
              <w:jc w:val="center"/>
              <w:rPr>
                <w:rFonts w:ascii="Arial" w:hAnsi="Arial" w:cs="Arial"/>
              </w:rPr>
            </w:pPr>
            <w:r w:rsidRPr="0073336A">
              <w:rPr>
                <w:rFonts w:ascii="Arial" w:hAnsi="Arial" w:cs="Arial"/>
                <w:sz w:val="22"/>
                <w:szCs w:val="22"/>
              </w:rPr>
              <w:t>.390</w:t>
            </w:r>
          </w:p>
        </w:tc>
        <w:tc>
          <w:tcPr>
            <w:tcW w:w="784"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0B7DA751" w14:textId="77777777" w:rsidR="0073336A" w:rsidRPr="0073336A" w:rsidRDefault="0073336A" w:rsidP="0073336A">
            <w:pPr>
              <w:spacing w:line="240" w:lineRule="atLeast"/>
              <w:ind w:left="45"/>
              <w:jc w:val="center"/>
              <w:rPr>
                <w:rFonts w:ascii="Arial" w:hAnsi="Arial" w:cs="Arial"/>
              </w:rPr>
            </w:pPr>
            <w:r w:rsidRPr="0073336A">
              <w:rPr>
                <w:rFonts w:ascii="Arial" w:hAnsi="Arial" w:cs="Arial"/>
                <w:sz w:val="22"/>
                <w:szCs w:val="22"/>
              </w:rPr>
              <w:t>.302</w:t>
            </w:r>
          </w:p>
        </w:tc>
        <w:tc>
          <w:tcPr>
            <w:tcW w:w="83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6E887FF3" w14:textId="77777777" w:rsidR="0073336A" w:rsidRPr="0073336A" w:rsidRDefault="0073336A" w:rsidP="0073336A">
            <w:pPr>
              <w:spacing w:line="240" w:lineRule="atLeast"/>
              <w:ind w:left="45"/>
              <w:jc w:val="center"/>
              <w:rPr>
                <w:rFonts w:ascii="Arial" w:hAnsi="Arial" w:cs="Arial"/>
              </w:rPr>
            </w:pPr>
            <w:r w:rsidRPr="0073336A">
              <w:rPr>
                <w:rFonts w:ascii="Arial" w:hAnsi="Arial" w:cs="Arial"/>
                <w:sz w:val="22"/>
                <w:szCs w:val="22"/>
              </w:rPr>
              <w:t>.348</w:t>
            </w:r>
          </w:p>
        </w:tc>
        <w:tc>
          <w:tcPr>
            <w:tcW w:w="739"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05A18FF5" w14:textId="77777777" w:rsidR="0073336A" w:rsidRPr="0073336A" w:rsidRDefault="0073336A" w:rsidP="0073336A">
            <w:pPr>
              <w:spacing w:line="240" w:lineRule="atLeast"/>
              <w:ind w:left="45"/>
              <w:jc w:val="center"/>
              <w:rPr>
                <w:rFonts w:ascii="Arial" w:hAnsi="Arial" w:cs="Arial"/>
              </w:rPr>
            </w:pPr>
            <w:r w:rsidRPr="0073336A">
              <w:rPr>
                <w:rFonts w:ascii="Arial" w:hAnsi="Arial" w:cs="Arial"/>
                <w:sz w:val="22"/>
                <w:szCs w:val="22"/>
              </w:rPr>
              <w:t>.301</w:t>
            </w:r>
          </w:p>
        </w:tc>
        <w:tc>
          <w:tcPr>
            <w:tcW w:w="782"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221C5517" w14:textId="77777777" w:rsidR="0073336A" w:rsidRPr="0073336A" w:rsidRDefault="0073336A" w:rsidP="0073336A">
            <w:pPr>
              <w:spacing w:line="240" w:lineRule="atLeast"/>
              <w:ind w:left="45"/>
              <w:jc w:val="center"/>
              <w:rPr>
                <w:rFonts w:ascii="Arial" w:hAnsi="Arial" w:cs="Arial"/>
              </w:rPr>
            </w:pPr>
            <w:r w:rsidRPr="0073336A">
              <w:rPr>
                <w:rFonts w:ascii="Arial" w:hAnsi="Arial" w:cs="Arial"/>
                <w:sz w:val="22"/>
                <w:szCs w:val="22"/>
              </w:rPr>
              <w:t>.325</w:t>
            </w:r>
          </w:p>
        </w:tc>
        <w:tc>
          <w:tcPr>
            <w:tcW w:w="689"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33F917D7" w14:textId="77777777" w:rsidR="0073336A" w:rsidRPr="0073336A" w:rsidRDefault="0073336A" w:rsidP="0073336A">
            <w:pPr>
              <w:spacing w:line="240" w:lineRule="atLeast"/>
              <w:ind w:left="45"/>
              <w:jc w:val="center"/>
              <w:rPr>
                <w:rFonts w:ascii="Arial" w:hAnsi="Arial" w:cs="Arial"/>
              </w:rPr>
            </w:pPr>
            <w:r w:rsidRPr="0073336A">
              <w:rPr>
                <w:rFonts w:ascii="Arial" w:hAnsi="Arial" w:cs="Arial"/>
                <w:sz w:val="22"/>
                <w:szCs w:val="22"/>
              </w:rPr>
              <w:t>1.00</w:t>
            </w:r>
          </w:p>
        </w:tc>
        <w:tc>
          <w:tcPr>
            <w:tcW w:w="835"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76146DB1" w14:textId="77777777" w:rsidR="0073336A" w:rsidRPr="0073336A" w:rsidRDefault="0073336A" w:rsidP="0073336A">
            <w:pPr>
              <w:spacing w:line="240" w:lineRule="atLeast"/>
              <w:ind w:left="45"/>
              <w:jc w:val="center"/>
              <w:rPr>
                <w:rFonts w:ascii="Arial" w:hAnsi="Arial" w:cs="Arial"/>
              </w:rPr>
            </w:pPr>
          </w:p>
        </w:tc>
        <w:tc>
          <w:tcPr>
            <w:tcW w:w="685"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08C1104C" w14:textId="77777777" w:rsidR="0073336A" w:rsidRPr="0073336A" w:rsidRDefault="0073336A" w:rsidP="0073336A">
            <w:pPr>
              <w:spacing w:line="240" w:lineRule="atLeast"/>
              <w:ind w:left="45"/>
              <w:jc w:val="center"/>
              <w:rPr>
                <w:rFonts w:ascii="Arial" w:hAnsi="Arial" w:cs="Arial"/>
              </w:rPr>
            </w:pPr>
          </w:p>
        </w:tc>
        <w:tc>
          <w:tcPr>
            <w:tcW w:w="690"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719AE3C9" w14:textId="77777777" w:rsidR="0073336A" w:rsidRPr="0073336A" w:rsidRDefault="0073336A" w:rsidP="0073336A">
            <w:pPr>
              <w:spacing w:line="240" w:lineRule="atLeast"/>
              <w:ind w:left="45"/>
              <w:jc w:val="center"/>
              <w:rPr>
                <w:rFonts w:ascii="Arial" w:hAnsi="Arial" w:cs="Arial"/>
              </w:rPr>
            </w:pPr>
          </w:p>
        </w:tc>
        <w:tc>
          <w:tcPr>
            <w:tcW w:w="682"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5E218E5A" w14:textId="77777777" w:rsidR="0073336A" w:rsidRPr="0073336A" w:rsidRDefault="0073336A" w:rsidP="0073336A">
            <w:pPr>
              <w:spacing w:line="240" w:lineRule="atLeast"/>
              <w:ind w:left="45"/>
              <w:jc w:val="center"/>
              <w:rPr>
                <w:rFonts w:ascii="Arial" w:hAnsi="Arial" w:cs="Arial"/>
              </w:rPr>
            </w:pPr>
          </w:p>
        </w:tc>
        <w:tc>
          <w:tcPr>
            <w:tcW w:w="820"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485F081C" w14:textId="77777777" w:rsidR="0073336A" w:rsidRPr="0073336A" w:rsidRDefault="0073336A" w:rsidP="0073336A">
            <w:pPr>
              <w:spacing w:line="240" w:lineRule="atLeast"/>
              <w:ind w:left="45"/>
              <w:jc w:val="center"/>
              <w:rPr>
                <w:rFonts w:ascii="Arial" w:hAnsi="Arial" w:cs="Arial"/>
              </w:rPr>
            </w:pPr>
          </w:p>
        </w:tc>
        <w:tc>
          <w:tcPr>
            <w:tcW w:w="825"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00C6E5DB" w14:textId="77777777" w:rsidR="0073336A" w:rsidRPr="0073336A" w:rsidRDefault="0073336A" w:rsidP="0073336A">
            <w:pPr>
              <w:spacing w:line="240" w:lineRule="atLeast"/>
              <w:ind w:left="45"/>
              <w:jc w:val="center"/>
              <w:rPr>
                <w:rFonts w:ascii="Arial" w:hAnsi="Arial" w:cs="Arial"/>
              </w:rPr>
            </w:pPr>
          </w:p>
        </w:tc>
        <w:tc>
          <w:tcPr>
            <w:tcW w:w="799" w:type="dxa"/>
            <w:tcBorders>
              <w:top w:val="single" w:sz="6" w:space="0" w:color="CBCBCB"/>
              <w:left w:val="single" w:sz="6" w:space="0" w:color="000000"/>
              <w:bottom w:val="single" w:sz="6" w:space="0" w:color="CBCBCB"/>
              <w:right w:val="single" w:sz="12" w:space="0" w:color="000000"/>
            </w:tcBorders>
            <w:shd w:val="clear" w:color="auto" w:fill="FFFFFF"/>
            <w:tcMar>
              <w:top w:w="0" w:type="dxa"/>
              <w:left w:w="75" w:type="dxa"/>
              <w:bottom w:w="0" w:type="dxa"/>
              <w:right w:w="75" w:type="dxa"/>
            </w:tcMar>
            <w:vAlign w:val="center"/>
            <w:hideMark/>
          </w:tcPr>
          <w:p w14:paraId="696CA134" w14:textId="77777777" w:rsidR="0073336A" w:rsidRPr="0073336A" w:rsidRDefault="0073336A" w:rsidP="0073336A">
            <w:pPr>
              <w:spacing w:line="240" w:lineRule="atLeast"/>
              <w:ind w:left="45"/>
              <w:jc w:val="center"/>
              <w:rPr>
                <w:rFonts w:ascii="Arial" w:hAnsi="Arial" w:cs="Arial"/>
              </w:rPr>
            </w:pPr>
          </w:p>
        </w:tc>
      </w:tr>
      <w:tr w:rsidR="000F7069" w:rsidRPr="0073336A" w14:paraId="0A36303A" w14:textId="77777777" w:rsidTr="000F7069">
        <w:trPr>
          <w:jc w:val="center"/>
        </w:trPr>
        <w:tc>
          <w:tcPr>
            <w:tcW w:w="719" w:type="dxa"/>
            <w:tcBorders>
              <w:top w:val="single" w:sz="6" w:space="0" w:color="CBCBCB"/>
              <w:left w:val="single" w:sz="12" w:space="0" w:color="000000"/>
              <w:bottom w:val="single" w:sz="6" w:space="0" w:color="CBCBCB"/>
              <w:right w:val="single" w:sz="12" w:space="0" w:color="000000"/>
            </w:tcBorders>
            <w:shd w:val="clear" w:color="auto" w:fill="FFFFFF"/>
            <w:tcMar>
              <w:top w:w="0" w:type="dxa"/>
              <w:left w:w="75" w:type="dxa"/>
              <w:bottom w:w="0" w:type="dxa"/>
              <w:right w:w="75" w:type="dxa"/>
            </w:tcMar>
            <w:hideMark/>
          </w:tcPr>
          <w:p w14:paraId="1BD42CCD" w14:textId="77777777" w:rsidR="0073336A" w:rsidRPr="0073336A" w:rsidRDefault="0073336A" w:rsidP="0073336A">
            <w:pPr>
              <w:spacing w:line="240" w:lineRule="atLeast"/>
              <w:ind w:left="45"/>
              <w:jc w:val="center"/>
              <w:rPr>
                <w:rFonts w:ascii="Arial" w:hAnsi="Arial" w:cs="Arial"/>
                <w:b/>
              </w:rPr>
            </w:pPr>
            <w:r w:rsidRPr="0073336A">
              <w:rPr>
                <w:rFonts w:ascii="Arial" w:hAnsi="Arial" w:cs="Arial"/>
                <w:b/>
                <w:sz w:val="22"/>
                <w:szCs w:val="22"/>
              </w:rPr>
              <w:t>q5b</w:t>
            </w:r>
          </w:p>
        </w:tc>
        <w:tc>
          <w:tcPr>
            <w:tcW w:w="789" w:type="dxa"/>
            <w:tcBorders>
              <w:top w:val="single" w:sz="6" w:space="0" w:color="CBCBCB"/>
              <w:left w:val="single" w:sz="12"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35C7859F" w14:textId="77777777" w:rsidR="0073336A" w:rsidRPr="0073336A" w:rsidRDefault="0073336A" w:rsidP="0073336A">
            <w:pPr>
              <w:spacing w:line="240" w:lineRule="atLeast"/>
              <w:ind w:left="45"/>
              <w:jc w:val="center"/>
              <w:rPr>
                <w:rFonts w:ascii="Arial" w:hAnsi="Arial" w:cs="Arial"/>
              </w:rPr>
            </w:pPr>
            <w:r w:rsidRPr="0073336A">
              <w:rPr>
                <w:rFonts w:ascii="Arial" w:hAnsi="Arial" w:cs="Arial"/>
                <w:sz w:val="22"/>
                <w:szCs w:val="22"/>
              </w:rPr>
              <w:t>.496</w:t>
            </w:r>
          </w:p>
        </w:tc>
        <w:tc>
          <w:tcPr>
            <w:tcW w:w="720"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425DF3BC" w14:textId="77777777" w:rsidR="0073336A" w:rsidRPr="0073336A" w:rsidRDefault="0073336A" w:rsidP="0073336A">
            <w:pPr>
              <w:spacing w:line="240" w:lineRule="atLeast"/>
              <w:ind w:left="45"/>
              <w:jc w:val="center"/>
              <w:rPr>
                <w:rFonts w:ascii="Arial" w:hAnsi="Arial" w:cs="Arial"/>
              </w:rPr>
            </w:pPr>
            <w:r w:rsidRPr="0073336A">
              <w:rPr>
                <w:rFonts w:ascii="Arial" w:hAnsi="Arial" w:cs="Arial"/>
                <w:sz w:val="22"/>
                <w:szCs w:val="22"/>
              </w:rPr>
              <w:t>.289</w:t>
            </w:r>
          </w:p>
        </w:tc>
        <w:tc>
          <w:tcPr>
            <w:tcW w:w="78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295C5E5F" w14:textId="77777777" w:rsidR="0073336A" w:rsidRPr="0073336A" w:rsidRDefault="0073336A" w:rsidP="0073336A">
            <w:pPr>
              <w:spacing w:line="240" w:lineRule="atLeast"/>
              <w:ind w:left="45"/>
              <w:jc w:val="center"/>
              <w:rPr>
                <w:rFonts w:ascii="Arial" w:hAnsi="Arial" w:cs="Arial"/>
              </w:rPr>
            </w:pPr>
            <w:r w:rsidRPr="0073336A">
              <w:rPr>
                <w:rFonts w:ascii="Arial" w:hAnsi="Arial" w:cs="Arial"/>
                <w:sz w:val="22"/>
                <w:szCs w:val="22"/>
              </w:rPr>
              <w:t>.417</w:t>
            </w:r>
          </w:p>
        </w:tc>
        <w:tc>
          <w:tcPr>
            <w:tcW w:w="784"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579D2BA4" w14:textId="77777777" w:rsidR="0073336A" w:rsidRPr="0073336A" w:rsidRDefault="0073336A" w:rsidP="0073336A">
            <w:pPr>
              <w:spacing w:line="240" w:lineRule="atLeast"/>
              <w:ind w:left="45"/>
              <w:jc w:val="center"/>
              <w:rPr>
                <w:rFonts w:ascii="Arial" w:hAnsi="Arial" w:cs="Arial"/>
              </w:rPr>
            </w:pPr>
            <w:r w:rsidRPr="0073336A">
              <w:rPr>
                <w:rFonts w:ascii="Arial" w:hAnsi="Arial" w:cs="Arial"/>
                <w:sz w:val="22"/>
                <w:szCs w:val="22"/>
              </w:rPr>
              <w:t>.334</w:t>
            </w:r>
          </w:p>
        </w:tc>
        <w:tc>
          <w:tcPr>
            <w:tcW w:w="83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43A01735" w14:textId="77777777" w:rsidR="0073336A" w:rsidRPr="0073336A" w:rsidRDefault="0073336A" w:rsidP="0073336A">
            <w:pPr>
              <w:spacing w:line="240" w:lineRule="atLeast"/>
              <w:ind w:left="45"/>
              <w:jc w:val="center"/>
              <w:rPr>
                <w:rFonts w:ascii="Arial" w:hAnsi="Arial" w:cs="Arial"/>
              </w:rPr>
            </w:pPr>
            <w:r w:rsidRPr="0073336A">
              <w:rPr>
                <w:rFonts w:ascii="Arial" w:hAnsi="Arial" w:cs="Arial"/>
                <w:sz w:val="22"/>
                <w:szCs w:val="22"/>
              </w:rPr>
              <w:t>.441</w:t>
            </w:r>
          </w:p>
        </w:tc>
        <w:tc>
          <w:tcPr>
            <w:tcW w:w="739"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6FA723EB" w14:textId="77777777" w:rsidR="0073336A" w:rsidRPr="0073336A" w:rsidRDefault="0073336A" w:rsidP="0073336A">
            <w:pPr>
              <w:spacing w:line="240" w:lineRule="atLeast"/>
              <w:ind w:left="45"/>
              <w:jc w:val="center"/>
              <w:rPr>
                <w:rFonts w:ascii="Arial" w:hAnsi="Arial" w:cs="Arial"/>
              </w:rPr>
            </w:pPr>
            <w:r w:rsidRPr="0073336A">
              <w:rPr>
                <w:rFonts w:ascii="Arial" w:hAnsi="Arial" w:cs="Arial"/>
                <w:sz w:val="22"/>
                <w:szCs w:val="22"/>
              </w:rPr>
              <w:t>.273</w:t>
            </w:r>
          </w:p>
        </w:tc>
        <w:tc>
          <w:tcPr>
            <w:tcW w:w="782"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7A19DC23" w14:textId="77777777" w:rsidR="0073336A" w:rsidRPr="0073336A" w:rsidRDefault="0073336A" w:rsidP="0073336A">
            <w:pPr>
              <w:spacing w:line="240" w:lineRule="atLeast"/>
              <w:ind w:left="45"/>
              <w:jc w:val="center"/>
              <w:rPr>
                <w:rFonts w:ascii="Arial" w:hAnsi="Arial" w:cs="Arial"/>
              </w:rPr>
            </w:pPr>
            <w:r w:rsidRPr="0073336A">
              <w:rPr>
                <w:rFonts w:ascii="Arial" w:hAnsi="Arial" w:cs="Arial"/>
                <w:sz w:val="22"/>
                <w:szCs w:val="22"/>
              </w:rPr>
              <w:t>.386</w:t>
            </w:r>
          </w:p>
        </w:tc>
        <w:tc>
          <w:tcPr>
            <w:tcW w:w="689"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4D1F2EF6" w14:textId="77777777" w:rsidR="0073336A" w:rsidRPr="0073336A" w:rsidRDefault="0073336A" w:rsidP="0073336A">
            <w:pPr>
              <w:spacing w:line="240" w:lineRule="atLeast"/>
              <w:ind w:left="45"/>
              <w:jc w:val="center"/>
              <w:rPr>
                <w:rFonts w:ascii="Arial" w:hAnsi="Arial" w:cs="Arial"/>
              </w:rPr>
            </w:pPr>
            <w:r w:rsidRPr="0073336A">
              <w:rPr>
                <w:rFonts w:ascii="Arial" w:hAnsi="Arial" w:cs="Arial"/>
                <w:sz w:val="22"/>
                <w:szCs w:val="22"/>
              </w:rPr>
              <w:t>.776</w:t>
            </w:r>
          </w:p>
        </w:tc>
        <w:tc>
          <w:tcPr>
            <w:tcW w:w="835"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40598422" w14:textId="77777777" w:rsidR="0073336A" w:rsidRPr="0073336A" w:rsidRDefault="0073336A" w:rsidP="0073336A">
            <w:pPr>
              <w:spacing w:line="240" w:lineRule="atLeast"/>
              <w:ind w:left="45"/>
              <w:jc w:val="center"/>
              <w:rPr>
                <w:rFonts w:ascii="Arial" w:hAnsi="Arial" w:cs="Arial"/>
              </w:rPr>
            </w:pPr>
            <w:r w:rsidRPr="0073336A">
              <w:rPr>
                <w:rFonts w:ascii="Arial" w:hAnsi="Arial" w:cs="Arial"/>
                <w:sz w:val="22"/>
                <w:szCs w:val="22"/>
              </w:rPr>
              <w:t>1.00</w:t>
            </w:r>
          </w:p>
        </w:tc>
        <w:tc>
          <w:tcPr>
            <w:tcW w:w="685"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452EF45A" w14:textId="77777777" w:rsidR="0073336A" w:rsidRPr="0073336A" w:rsidRDefault="0073336A" w:rsidP="0073336A">
            <w:pPr>
              <w:spacing w:line="240" w:lineRule="atLeast"/>
              <w:ind w:left="45"/>
              <w:jc w:val="center"/>
              <w:rPr>
                <w:rFonts w:ascii="Arial" w:hAnsi="Arial" w:cs="Arial"/>
              </w:rPr>
            </w:pPr>
          </w:p>
        </w:tc>
        <w:tc>
          <w:tcPr>
            <w:tcW w:w="690"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3560FF08" w14:textId="77777777" w:rsidR="0073336A" w:rsidRPr="0073336A" w:rsidRDefault="0073336A" w:rsidP="0073336A">
            <w:pPr>
              <w:spacing w:line="240" w:lineRule="atLeast"/>
              <w:ind w:left="45"/>
              <w:jc w:val="center"/>
              <w:rPr>
                <w:rFonts w:ascii="Arial" w:hAnsi="Arial" w:cs="Arial"/>
              </w:rPr>
            </w:pPr>
          </w:p>
        </w:tc>
        <w:tc>
          <w:tcPr>
            <w:tcW w:w="682"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6524A3AE" w14:textId="77777777" w:rsidR="0073336A" w:rsidRPr="0073336A" w:rsidRDefault="0073336A" w:rsidP="0073336A">
            <w:pPr>
              <w:spacing w:line="240" w:lineRule="atLeast"/>
              <w:ind w:left="45"/>
              <w:jc w:val="center"/>
              <w:rPr>
                <w:rFonts w:ascii="Arial" w:hAnsi="Arial" w:cs="Arial"/>
              </w:rPr>
            </w:pPr>
          </w:p>
        </w:tc>
        <w:tc>
          <w:tcPr>
            <w:tcW w:w="820"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49A838E1" w14:textId="77777777" w:rsidR="0073336A" w:rsidRPr="0073336A" w:rsidRDefault="0073336A" w:rsidP="0073336A">
            <w:pPr>
              <w:spacing w:line="240" w:lineRule="atLeast"/>
              <w:ind w:left="45"/>
              <w:jc w:val="center"/>
              <w:rPr>
                <w:rFonts w:ascii="Arial" w:hAnsi="Arial" w:cs="Arial"/>
              </w:rPr>
            </w:pPr>
          </w:p>
        </w:tc>
        <w:tc>
          <w:tcPr>
            <w:tcW w:w="825"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559AF471" w14:textId="77777777" w:rsidR="0073336A" w:rsidRPr="0073336A" w:rsidRDefault="0073336A" w:rsidP="0073336A">
            <w:pPr>
              <w:spacing w:line="240" w:lineRule="atLeast"/>
              <w:ind w:left="45"/>
              <w:jc w:val="center"/>
              <w:rPr>
                <w:rFonts w:ascii="Arial" w:hAnsi="Arial" w:cs="Arial"/>
              </w:rPr>
            </w:pPr>
          </w:p>
        </w:tc>
        <w:tc>
          <w:tcPr>
            <w:tcW w:w="799" w:type="dxa"/>
            <w:tcBorders>
              <w:top w:val="single" w:sz="6" w:space="0" w:color="CBCBCB"/>
              <w:left w:val="single" w:sz="6" w:space="0" w:color="000000"/>
              <w:bottom w:val="single" w:sz="6" w:space="0" w:color="CBCBCB"/>
              <w:right w:val="single" w:sz="12" w:space="0" w:color="000000"/>
            </w:tcBorders>
            <w:shd w:val="clear" w:color="auto" w:fill="FFFFFF"/>
            <w:tcMar>
              <w:top w:w="0" w:type="dxa"/>
              <w:left w:w="75" w:type="dxa"/>
              <w:bottom w:w="0" w:type="dxa"/>
              <w:right w:w="75" w:type="dxa"/>
            </w:tcMar>
            <w:vAlign w:val="center"/>
            <w:hideMark/>
          </w:tcPr>
          <w:p w14:paraId="34A071B0" w14:textId="77777777" w:rsidR="0073336A" w:rsidRPr="0073336A" w:rsidRDefault="0073336A" w:rsidP="0073336A">
            <w:pPr>
              <w:spacing w:line="240" w:lineRule="atLeast"/>
              <w:ind w:left="45"/>
              <w:jc w:val="center"/>
              <w:rPr>
                <w:rFonts w:ascii="Arial" w:hAnsi="Arial" w:cs="Arial"/>
              </w:rPr>
            </w:pPr>
          </w:p>
        </w:tc>
      </w:tr>
      <w:tr w:rsidR="000F7069" w:rsidRPr="0073336A" w14:paraId="60D61418" w14:textId="77777777" w:rsidTr="000F7069">
        <w:trPr>
          <w:jc w:val="center"/>
        </w:trPr>
        <w:tc>
          <w:tcPr>
            <w:tcW w:w="719" w:type="dxa"/>
            <w:tcBorders>
              <w:top w:val="single" w:sz="6" w:space="0" w:color="CBCBCB"/>
              <w:left w:val="single" w:sz="12" w:space="0" w:color="000000"/>
              <w:bottom w:val="single" w:sz="6" w:space="0" w:color="CBCBCB"/>
              <w:right w:val="single" w:sz="12" w:space="0" w:color="000000"/>
            </w:tcBorders>
            <w:shd w:val="clear" w:color="auto" w:fill="FFFFFF"/>
            <w:tcMar>
              <w:top w:w="0" w:type="dxa"/>
              <w:left w:w="75" w:type="dxa"/>
              <w:bottom w:w="0" w:type="dxa"/>
              <w:right w:w="75" w:type="dxa"/>
            </w:tcMar>
            <w:hideMark/>
          </w:tcPr>
          <w:p w14:paraId="5BE4D8E4" w14:textId="77777777" w:rsidR="0073336A" w:rsidRPr="0073336A" w:rsidRDefault="0073336A" w:rsidP="0073336A">
            <w:pPr>
              <w:spacing w:line="240" w:lineRule="atLeast"/>
              <w:ind w:left="45"/>
              <w:jc w:val="center"/>
              <w:rPr>
                <w:rFonts w:ascii="Arial" w:hAnsi="Arial" w:cs="Arial"/>
                <w:b/>
              </w:rPr>
            </w:pPr>
            <w:r w:rsidRPr="0073336A">
              <w:rPr>
                <w:rFonts w:ascii="Arial" w:hAnsi="Arial" w:cs="Arial"/>
                <w:b/>
                <w:sz w:val="22"/>
                <w:szCs w:val="22"/>
              </w:rPr>
              <w:t>q6</w:t>
            </w:r>
          </w:p>
        </w:tc>
        <w:tc>
          <w:tcPr>
            <w:tcW w:w="789" w:type="dxa"/>
            <w:tcBorders>
              <w:top w:val="single" w:sz="6" w:space="0" w:color="CBCBCB"/>
              <w:left w:val="single" w:sz="12"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75618907" w14:textId="77777777" w:rsidR="0073336A" w:rsidRPr="0073336A" w:rsidRDefault="0073336A" w:rsidP="0073336A">
            <w:pPr>
              <w:spacing w:line="240" w:lineRule="atLeast"/>
              <w:ind w:left="45"/>
              <w:jc w:val="center"/>
              <w:rPr>
                <w:rFonts w:ascii="Arial" w:hAnsi="Arial" w:cs="Arial"/>
              </w:rPr>
            </w:pPr>
            <w:r w:rsidRPr="0073336A">
              <w:rPr>
                <w:rFonts w:ascii="Arial" w:hAnsi="Arial" w:cs="Arial"/>
                <w:sz w:val="22"/>
                <w:szCs w:val="22"/>
              </w:rPr>
              <w:t>.400</w:t>
            </w:r>
          </w:p>
        </w:tc>
        <w:tc>
          <w:tcPr>
            <w:tcW w:w="720"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39D2C874" w14:textId="77777777" w:rsidR="0073336A" w:rsidRPr="0073336A" w:rsidRDefault="0073336A" w:rsidP="0073336A">
            <w:pPr>
              <w:spacing w:line="240" w:lineRule="atLeast"/>
              <w:ind w:left="45"/>
              <w:jc w:val="center"/>
              <w:rPr>
                <w:rFonts w:ascii="Arial" w:hAnsi="Arial" w:cs="Arial"/>
              </w:rPr>
            </w:pPr>
            <w:r w:rsidRPr="0073336A">
              <w:rPr>
                <w:rFonts w:ascii="Arial" w:hAnsi="Arial" w:cs="Arial"/>
                <w:sz w:val="22"/>
                <w:szCs w:val="22"/>
              </w:rPr>
              <w:t>.316</w:t>
            </w:r>
          </w:p>
        </w:tc>
        <w:tc>
          <w:tcPr>
            <w:tcW w:w="78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6660EE2B" w14:textId="77777777" w:rsidR="0073336A" w:rsidRPr="0073336A" w:rsidRDefault="0073336A" w:rsidP="0073336A">
            <w:pPr>
              <w:spacing w:line="240" w:lineRule="atLeast"/>
              <w:ind w:left="45"/>
              <w:jc w:val="center"/>
              <w:rPr>
                <w:rFonts w:ascii="Arial" w:hAnsi="Arial" w:cs="Arial"/>
              </w:rPr>
            </w:pPr>
            <w:r w:rsidRPr="0073336A">
              <w:rPr>
                <w:rFonts w:ascii="Arial" w:hAnsi="Arial" w:cs="Arial"/>
                <w:sz w:val="22"/>
                <w:szCs w:val="22"/>
              </w:rPr>
              <w:t>.366</w:t>
            </w:r>
          </w:p>
        </w:tc>
        <w:tc>
          <w:tcPr>
            <w:tcW w:w="784"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2F9DD445" w14:textId="77777777" w:rsidR="0073336A" w:rsidRPr="0073336A" w:rsidRDefault="0073336A" w:rsidP="0073336A">
            <w:pPr>
              <w:spacing w:line="240" w:lineRule="atLeast"/>
              <w:ind w:left="45"/>
              <w:jc w:val="center"/>
              <w:rPr>
                <w:rFonts w:ascii="Arial" w:hAnsi="Arial" w:cs="Arial"/>
              </w:rPr>
            </w:pPr>
            <w:r w:rsidRPr="0073336A">
              <w:rPr>
                <w:rFonts w:ascii="Arial" w:hAnsi="Arial" w:cs="Arial"/>
                <w:sz w:val="22"/>
                <w:szCs w:val="22"/>
              </w:rPr>
              <w:t>.286</w:t>
            </w:r>
          </w:p>
        </w:tc>
        <w:tc>
          <w:tcPr>
            <w:tcW w:w="83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54E51D14" w14:textId="77777777" w:rsidR="0073336A" w:rsidRPr="0073336A" w:rsidRDefault="0073336A" w:rsidP="0073336A">
            <w:pPr>
              <w:spacing w:line="240" w:lineRule="atLeast"/>
              <w:ind w:left="45"/>
              <w:jc w:val="center"/>
              <w:rPr>
                <w:rFonts w:ascii="Arial" w:hAnsi="Arial" w:cs="Arial"/>
              </w:rPr>
            </w:pPr>
            <w:r w:rsidRPr="0073336A">
              <w:rPr>
                <w:rFonts w:ascii="Arial" w:hAnsi="Arial" w:cs="Arial"/>
                <w:sz w:val="22"/>
                <w:szCs w:val="22"/>
              </w:rPr>
              <w:t>.409</w:t>
            </w:r>
          </w:p>
        </w:tc>
        <w:tc>
          <w:tcPr>
            <w:tcW w:w="739"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74996313" w14:textId="77777777" w:rsidR="0073336A" w:rsidRPr="0073336A" w:rsidRDefault="0073336A" w:rsidP="0073336A">
            <w:pPr>
              <w:spacing w:line="240" w:lineRule="atLeast"/>
              <w:ind w:left="45"/>
              <w:jc w:val="center"/>
              <w:rPr>
                <w:rFonts w:ascii="Arial" w:hAnsi="Arial" w:cs="Arial"/>
              </w:rPr>
            </w:pPr>
            <w:r w:rsidRPr="0073336A">
              <w:rPr>
                <w:rFonts w:ascii="Arial" w:hAnsi="Arial" w:cs="Arial"/>
                <w:sz w:val="22"/>
                <w:szCs w:val="22"/>
              </w:rPr>
              <w:t>.306</w:t>
            </w:r>
          </w:p>
        </w:tc>
        <w:tc>
          <w:tcPr>
            <w:tcW w:w="782"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3B7AD5CD" w14:textId="77777777" w:rsidR="0073336A" w:rsidRPr="0073336A" w:rsidRDefault="0073336A" w:rsidP="0073336A">
            <w:pPr>
              <w:spacing w:line="240" w:lineRule="atLeast"/>
              <w:ind w:left="45"/>
              <w:jc w:val="center"/>
              <w:rPr>
                <w:rFonts w:ascii="Arial" w:hAnsi="Arial" w:cs="Arial"/>
              </w:rPr>
            </w:pPr>
            <w:r w:rsidRPr="0073336A">
              <w:rPr>
                <w:rFonts w:ascii="Arial" w:hAnsi="Arial" w:cs="Arial"/>
                <w:sz w:val="22"/>
                <w:szCs w:val="22"/>
              </w:rPr>
              <w:t>.382</w:t>
            </w:r>
          </w:p>
        </w:tc>
        <w:tc>
          <w:tcPr>
            <w:tcW w:w="689"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7268E3B9" w14:textId="77777777" w:rsidR="0073336A" w:rsidRPr="0073336A" w:rsidRDefault="0073336A" w:rsidP="0073336A">
            <w:pPr>
              <w:spacing w:line="240" w:lineRule="atLeast"/>
              <w:ind w:left="45"/>
              <w:jc w:val="center"/>
              <w:rPr>
                <w:rFonts w:ascii="Arial" w:hAnsi="Arial" w:cs="Arial"/>
              </w:rPr>
            </w:pPr>
            <w:r w:rsidRPr="0073336A">
              <w:rPr>
                <w:rFonts w:ascii="Arial" w:hAnsi="Arial" w:cs="Arial"/>
                <w:sz w:val="22"/>
                <w:szCs w:val="22"/>
              </w:rPr>
              <w:t>.344</w:t>
            </w:r>
          </w:p>
        </w:tc>
        <w:tc>
          <w:tcPr>
            <w:tcW w:w="835"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3CF530A2" w14:textId="77777777" w:rsidR="0073336A" w:rsidRPr="0073336A" w:rsidRDefault="0073336A" w:rsidP="0073336A">
            <w:pPr>
              <w:spacing w:line="240" w:lineRule="atLeast"/>
              <w:ind w:left="45"/>
              <w:jc w:val="center"/>
              <w:rPr>
                <w:rFonts w:ascii="Arial" w:hAnsi="Arial" w:cs="Arial"/>
              </w:rPr>
            </w:pPr>
            <w:r w:rsidRPr="0073336A">
              <w:rPr>
                <w:rFonts w:ascii="Arial" w:hAnsi="Arial" w:cs="Arial"/>
                <w:sz w:val="22"/>
                <w:szCs w:val="22"/>
              </w:rPr>
              <w:t>.314</w:t>
            </w:r>
          </w:p>
        </w:tc>
        <w:tc>
          <w:tcPr>
            <w:tcW w:w="685"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25579D95" w14:textId="77777777" w:rsidR="0073336A" w:rsidRPr="0073336A" w:rsidRDefault="0073336A" w:rsidP="0073336A">
            <w:pPr>
              <w:spacing w:line="240" w:lineRule="atLeast"/>
              <w:ind w:left="45"/>
              <w:jc w:val="center"/>
              <w:rPr>
                <w:rFonts w:ascii="Arial" w:hAnsi="Arial" w:cs="Arial"/>
              </w:rPr>
            </w:pPr>
            <w:r w:rsidRPr="0073336A">
              <w:rPr>
                <w:rFonts w:ascii="Arial" w:hAnsi="Arial" w:cs="Arial"/>
                <w:sz w:val="22"/>
                <w:szCs w:val="22"/>
              </w:rPr>
              <w:t>1.00</w:t>
            </w:r>
          </w:p>
        </w:tc>
        <w:tc>
          <w:tcPr>
            <w:tcW w:w="690"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tcPr>
          <w:p w14:paraId="2D4511BB" w14:textId="77777777" w:rsidR="0073336A" w:rsidRPr="0073336A" w:rsidRDefault="0073336A" w:rsidP="0073336A">
            <w:pPr>
              <w:spacing w:line="240" w:lineRule="atLeast"/>
              <w:ind w:left="45"/>
              <w:jc w:val="center"/>
              <w:rPr>
                <w:rFonts w:ascii="Arial" w:hAnsi="Arial" w:cs="Arial"/>
              </w:rPr>
            </w:pPr>
          </w:p>
        </w:tc>
        <w:tc>
          <w:tcPr>
            <w:tcW w:w="682"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tcPr>
          <w:p w14:paraId="4DC5FA0A" w14:textId="77777777" w:rsidR="0073336A" w:rsidRPr="0073336A" w:rsidRDefault="0073336A" w:rsidP="0073336A">
            <w:pPr>
              <w:spacing w:line="240" w:lineRule="atLeast"/>
              <w:ind w:left="45"/>
              <w:jc w:val="center"/>
              <w:rPr>
                <w:rFonts w:ascii="Arial" w:hAnsi="Arial" w:cs="Arial"/>
              </w:rPr>
            </w:pPr>
          </w:p>
        </w:tc>
        <w:tc>
          <w:tcPr>
            <w:tcW w:w="820"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tcPr>
          <w:p w14:paraId="3F1639EF" w14:textId="77777777" w:rsidR="0073336A" w:rsidRPr="0073336A" w:rsidRDefault="0073336A" w:rsidP="0073336A">
            <w:pPr>
              <w:spacing w:line="240" w:lineRule="atLeast"/>
              <w:ind w:left="45"/>
              <w:jc w:val="center"/>
              <w:rPr>
                <w:rFonts w:ascii="Arial" w:hAnsi="Arial" w:cs="Arial"/>
              </w:rPr>
            </w:pPr>
          </w:p>
        </w:tc>
        <w:tc>
          <w:tcPr>
            <w:tcW w:w="825"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tcPr>
          <w:p w14:paraId="52B959AB" w14:textId="77777777" w:rsidR="0073336A" w:rsidRPr="0073336A" w:rsidRDefault="0073336A" w:rsidP="0073336A">
            <w:pPr>
              <w:spacing w:line="240" w:lineRule="atLeast"/>
              <w:ind w:left="45"/>
              <w:jc w:val="center"/>
              <w:rPr>
                <w:rFonts w:ascii="Arial" w:hAnsi="Arial" w:cs="Arial"/>
              </w:rPr>
            </w:pPr>
          </w:p>
        </w:tc>
        <w:tc>
          <w:tcPr>
            <w:tcW w:w="799" w:type="dxa"/>
            <w:tcBorders>
              <w:top w:val="single" w:sz="6" w:space="0" w:color="CBCBCB"/>
              <w:left w:val="single" w:sz="6" w:space="0" w:color="000000"/>
              <w:bottom w:val="single" w:sz="6" w:space="0" w:color="CBCBCB"/>
              <w:right w:val="single" w:sz="12" w:space="0" w:color="000000"/>
            </w:tcBorders>
            <w:shd w:val="clear" w:color="auto" w:fill="FFFFFF"/>
            <w:tcMar>
              <w:top w:w="0" w:type="dxa"/>
              <w:left w:w="75" w:type="dxa"/>
              <w:bottom w:w="0" w:type="dxa"/>
              <w:right w:w="75" w:type="dxa"/>
            </w:tcMar>
            <w:vAlign w:val="center"/>
            <w:hideMark/>
          </w:tcPr>
          <w:p w14:paraId="2BB1D8C7" w14:textId="77777777" w:rsidR="0073336A" w:rsidRPr="0073336A" w:rsidRDefault="0073336A" w:rsidP="0073336A">
            <w:pPr>
              <w:spacing w:line="240" w:lineRule="atLeast"/>
              <w:ind w:left="45"/>
              <w:jc w:val="center"/>
              <w:rPr>
                <w:rFonts w:ascii="Arial" w:hAnsi="Arial" w:cs="Arial"/>
              </w:rPr>
            </w:pPr>
          </w:p>
        </w:tc>
      </w:tr>
      <w:tr w:rsidR="000F7069" w:rsidRPr="0073336A" w14:paraId="7A2E2739" w14:textId="77777777" w:rsidTr="000F7069">
        <w:trPr>
          <w:jc w:val="center"/>
        </w:trPr>
        <w:tc>
          <w:tcPr>
            <w:tcW w:w="719" w:type="dxa"/>
            <w:tcBorders>
              <w:top w:val="single" w:sz="6" w:space="0" w:color="CBCBCB"/>
              <w:left w:val="single" w:sz="12" w:space="0" w:color="000000"/>
              <w:bottom w:val="single" w:sz="6" w:space="0" w:color="CBCBCB"/>
              <w:right w:val="single" w:sz="12" w:space="0" w:color="000000"/>
            </w:tcBorders>
            <w:shd w:val="clear" w:color="auto" w:fill="FFFFFF"/>
            <w:tcMar>
              <w:top w:w="0" w:type="dxa"/>
              <w:left w:w="75" w:type="dxa"/>
              <w:bottom w:w="0" w:type="dxa"/>
              <w:right w:w="75" w:type="dxa"/>
            </w:tcMar>
            <w:hideMark/>
          </w:tcPr>
          <w:p w14:paraId="0FCDD9B4" w14:textId="77777777" w:rsidR="0073336A" w:rsidRPr="0073336A" w:rsidRDefault="0073336A" w:rsidP="0073336A">
            <w:pPr>
              <w:spacing w:line="240" w:lineRule="atLeast"/>
              <w:ind w:left="45"/>
              <w:jc w:val="center"/>
              <w:rPr>
                <w:rFonts w:ascii="Arial" w:hAnsi="Arial" w:cs="Arial"/>
                <w:b/>
              </w:rPr>
            </w:pPr>
            <w:r w:rsidRPr="0073336A">
              <w:rPr>
                <w:rFonts w:ascii="Arial" w:hAnsi="Arial" w:cs="Arial"/>
                <w:b/>
                <w:sz w:val="22"/>
                <w:szCs w:val="22"/>
              </w:rPr>
              <w:t>q7</w:t>
            </w:r>
          </w:p>
        </w:tc>
        <w:tc>
          <w:tcPr>
            <w:tcW w:w="789" w:type="dxa"/>
            <w:tcBorders>
              <w:top w:val="single" w:sz="6" w:space="0" w:color="CBCBCB"/>
              <w:left w:val="single" w:sz="12"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672580F7" w14:textId="77777777" w:rsidR="0073336A" w:rsidRPr="0073336A" w:rsidRDefault="0073336A" w:rsidP="0073336A">
            <w:pPr>
              <w:spacing w:line="240" w:lineRule="atLeast"/>
              <w:ind w:left="45"/>
              <w:jc w:val="center"/>
              <w:rPr>
                <w:rFonts w:ascii="Arial" w:hAnsi="Arial" w:cs="Arial"/>
              </w:rPr>
            </w:pPr>
            <w:r w:rsidRPr="0073336A">
              <w:rPr>
                <w:rFonts w:ascii="Arial" w:hAnsi="Arial" w:cs="Arial"/>
                <w:sz w:val="22"/>
                <w:szCs w:val="22"/>
              </w:rPr>
              <w:t>.363</w:t>
            </w:r>
          </w:p>
        </w:tc>
        <w:tc>
          <w:tcPr>
            <w:tcW w:w="720"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24D174E0" w14:textId="77777777" w:rsidR="0073336A" w:rsidRPr="0073336A" w:rsidRDefault="0073336A" w:rsidP="0073336A">
            <w:pPr>
              <w:spacing w:line="240" w:lineRule="atLeast"/>
              <w:ind w:left="45"/>
              <w:jc w:val="center"/>
              <w:rPr>
                <w:rFonts w:ascii="Arial" w:hAnsi="Arial" w:cs="Arial"/>
              </w:rPr>
            </w:pPr>
            <w:r w:rsidRPr="0073336A">
              <w:rPr>
                <w:rFonts w:ascii="Arial" w:hAnsi="Arial" w:cs="Arial"/>
                <w:sz w:val="22"/>
                <w:szCs w:val="22"/>
              </w:rPr>
              <w:t>.314</w:t>
            </w:r>
          </w:p>
        </w:tc>
        <w:tc>
          <w:tcPr>
            <w:tcW w:w="78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127D737E" w14:textId="77777777" w:rsidR="0073336A" w:rsidRPr="0073336A" w:rsidRDefault="0073336A" w:rsidP="0073336A">
            <w:pPr>
              <w:spacing w:line="240" w:lineRule="atLeast"/>
              <w:ind w:left="45"/>
              <w:jc w:val="center"/>
              <w:rPr>
                <w:rFonts w:ascii="Arial" w:hAnsi="Arial" w:cs="Arial"/>
              </w:rPr>
            </w:pPr>
            <w:r w:rsidRPr="0073336A">
              <w:rPr>
                <w:rFonts w:ascii="Arial" w:hAnsi="Arial" w:cs="Arial"/>
                <w:sz w:val="22"/>
                <w:szCs w:val="22"/>
              </w:rPr>
              <w:t>.327</w:t>
            </w:r>
          </w:p>
        </w:tc>
        <w:tc>
          <w:tcPr>
            <w:tcW w:w="784"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71C47280" w14:textId="77777777" w:rsidR="0073336A" w:rsidRPr="0073336A" w:rsidRDefault="0073336A" w:rsidP="0073336A">
            <w:pPr>
              <w:spacing w:line="240" w:lineRule="atLeast"/>
              <w:ind w:left="45"/>
              <w:jc w:val="center"/>
              <w:rPr>
                <w:rFonts w:ascii="Arial" w:hAnsi="Arial" w:cs="Arial"/>
              </w:rPr>
            </w:pPr>
            <w:r w:rsidRPr="0073336A">
              <w:rPr>
                <w:rFonts w:ascii="Arial" w:hAnsi="Arial" w:cs="Arial"/>
                <w:sz w:val="22"/>
                <w:szCs w:val="22"/>
              </w:rPr>
              <w:t>.205</w:t>
            </w:r>
          </w:p>
        </w:tc>
        <w:tc>
          <w:tcPr>
            <w:tcW w:w="83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18698E84" w14:textId="77777777" w:rsidR="0073336A" w:rsidRPr="0073336A" w:rsidRDefault="0073336A" w:rsidP="0073336A">
            <w:pPr>
              <w:spacing w:line="240" w:lineRule="atLeast"/>
              <w:ind w:left="45"/>
              <w:jc w:val="center"/>
              <w:rPr>
                <w:rFonts w:ascii="Arial" w:hAnsi="Arial" w:cs="Arial"/>
              </w:rPr>
            </w:pPr>
            <w:r w:rsidRPr="0073336A">
              <w:rPr>
                <w:rFonts w:ascii="Arial" w:hAnsi="Arial" w:cs="Arial"/>
                <w:sz w:val="22"/>
                <w:szCs w:val="22"/>
              </w:rPr>
              <w:t>.266</w:t>
            </w:r>
          </w:p>
        </w:tc>
        <w:tc>
          <w:tcPr>
            <w:tcW w:w="739"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248D14BA" w14:textId="77777777" w:rsidR="0073336A" w:rsidRPr="0073336A" w:rsidRDefault="0073336A" w:rsidP="0073336A">
            <w:pPr>
              <w:spacing w:line="240" w:lineRule="atLeast"/>
              <w:ind w:left="45"/>
              <w:jc w:val="center"/>
              <w:rPr>
                <w:rFonts w:ascii="Arial" w:hAnsi="Arial" w:cs="Arial"/>
              </w:rPr>
            </w:pPr>
            <w:r w:rsidRPr="0073336A">
              <w:rPr>
                <w:rFonts w:ascii="Arial" w:hAnsi="Arial" w:cs="Arial"/>
                <w:sz w:val="22"/>
                <w:szCs w:val="22"/>
              </w:rPr>
              <w:t>.231</w:t>
            </w:r>
          </w:p>
        </w:tc>
        <w:tc>
          <w:tcPr>
            <w:tcW w:w="782"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5360F4F1" w14:textId="77777777" w:rsidR="0073336A" w:rsidRPr="0073336A" w:rsidRDefault="0073336A" w:rsidP="0073336A">
            <w:pPr>
              <w:spacing w:line="240" w:lineRule="atLeast"/>
              <w:ind w:left="45"/>
              <w:jc w:val="center"/>
              <w:rPr>
                <w:rFonts w:ascii="Arial" w:hAnsi="Arial" w:cs="Arial"/>
              </w:rPr>
            </w:pPr>
            <w:r w:rsidRPr="0073336A">
              <w:rPr>
                <w:rFonts w:ascii="Arial" w:hAnsi="Arial" w:cs="Arial"/>
                <w:sz w:val="22"/>
                <w:szCs w:val="22"/>
              </w:rPr>
              <w:t>.224</w:t>
            </w:r>
          </w:p>
        </w:tc>
        <w:tc>
          <w:tcPr>
            <w:tcW w:w="689"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49A1A56E" w14:textId="77777777" w:rsidR="0073336A" w:rsidRPr="0073336A" w:rsidRDefault="0073336A" w:rsidP="0073336A">
            <w:pPr>
              <w:spacing w:line="240" w:lineRule="atLeast"/>
              <w:ind w:left="45"/>
              <w:jc w:val="center"/>
              <w:rPr>
                <w:rFonts w:ascii="Arial" w:hAnsi="Arial" w:cs="Arial"/>
              </w:rPr>
            </w:pPr>
            <w:r w:rsidRPr="0073336A">
              <w:rPr>
                <w:rFonts w:ascii="Arial" w:hAnsi="Arial" w:cs="Arial"/>
                <w:sz w:val="22"/>
                <w:szCs w:val="22"/>
              </w:rPr>
              <w:t>.419</w:t>
            </w:r>
          </w:p>
        </w:tc>
        <w:tc>
          <w:tcPr>
            <w:tcW w:w="835"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59544BAB" w14:textId="77777777" w:rsidR="0073336A" w:rsidRPr="0073336A" w:rsidRDefault="0073336A" w:rsidP="0073336A">
            <w:pPr>
              <w:spacing w:line="240" w:lineRule="atLeast"/>
              <w:ind w:left="45"/>
              <w:jc w:val="center"/>
              <w:rPr>
                <w:rFonts w:ascii="Arial" w:hAnsi="Arial" w:cs="Arial"/>
              </w:rPr>
            </w:pPr>
            <w:r w:rsidRPr="0073336A">
              <w:rPr>
                <w:rFonts w:ascii="Arial" w:hAnsi="Arial" w:cs="Arial"/>
                <w:sz w:val="22"/>
                <w:szCs w:val="22"/>
              </w:rPr>
              <w:t>.388</w:t>
            </w:r>
          </w:p>
        </w:tc>
        <w:tc>
          <w:tcPr>
            <w:tcW w:w="685"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11E7CFBE" w14:textId="77777777" w:rsidR="0073336A" w:rsidRPr="0073336A" w:rsidRDefault="0073336A" w:rsidP="0073336A">
            <w:pPr>
              <w:spacing w:line="240" w:lineRule="atLeast"/>
              <w:ind w:left="45"/>
              <w:jc w:val="center"/>
              <w:rPr>
                <w:rFonts w:ascii="Arial" w:hAnsi="Arial" w:cs="Arial"/>
              </w:rPr>
            </w:pPr>
            <w:r w:rsidRPr="0073336A">
              <w:rPr>
                <w:rFonts w:ascii="Arial" w:hAnsi="Arial" w:cs="Arial"/>
                <w:sz w:val="22"/>
                <w:szCs w:val="22"/>
              </w:rPr>
              <w:t>.335</w:t>
            </w:r>
          </w:p>
        </w:tc>
        <w:tc>
          <w:tcPr>
            <w:tcW w:w="690"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05195FBA" w14:textId="77777777" w:rsidR="0073336A" w:rsidRPr="0073336A" w:rsidRDefault="0073336A" w:rsidP="0073336A">
            <w:pPr>
              <w:spacing w:line="240" w:lineRule="atLeast"/>
              <w:ind w:left="45"/>
              <w:jc w:val="center"/>
              <w:rPr>
                <w:rFonts w:ascii="Arial" w:hAnsi="Arial" w:cs="Arial"/>
              </w:rPr>
            </w:pPr>
            <w:r w:rsidRPr="0073336A">
              <w:rPr>
                <w:rFonts w:ascii="Arial" w:hAnsi="Arial" w:cs="Arial"/>
                <w:sz w:val="22"/>
                <w:szCs w:val="22"/>
              </w:rPr>
              <w:t>1.00</w:t>
            </w:r>
          </w:p>
        </w:tc>
        <w:tc>
          <w:tcPr>
            <w:tcW w:w="682"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397A22C9" w14:textId="77777777" w:rsidR="0073336A" w:rsidRPr="0073336A" w:rsidRDefault="0073336A" w:rsidP="0073336A">
            <w:pPr>
              <w:spacing w:line="240" w:lineRule="atLeast"/>
              <w:ind w:left="45"/>
              <w:jc w:val="center"/>
              <w:rPr>
                <w:rFonts w:ascii="Arial" w:hAnsi="Arial" w:cs="Arial"/>
              </w:rPr>
            </w:pPr>
          </w:p>
        </w:tc>
        <w:tc>
          <w:tcPr>
            <w:tcW w:w="820"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1D95460C" w14:textId="77777777" w:rsidR="0073336A" w:rsidRPr="0073336A" w:rsidRDefault="0073336A" w:rsidP="0073336A">
            <w:pPr>
              <w:spacing w:line="240" w:lineRule="atLeast"/>
              <w:ind w:left="45"/>
              <w:jc w:val="center"/>
              <w:rPr>
                <w:rFonts w:ascii="Arial" w:hAnsi="Arial" w:cs="Arial"/>
              </w:rPr>
            </w:pPr>
          </w:p>
        </w:tc>
        <w:tc>
          <w:tcPr>
            <w:tcW w:w="825"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02AD09B6" w14:textId="77777777" w:rsidR="0073336A" w:rsidRPr="0073336A" w:rsidRDefault="0073336A" w:rsidP="0073336A">
            <w:pPr>
              <w:spacing w:line="240" w:lineRule="atLeast"/>
              <w:ind w:left="45"/>
              <w:jc w:val="center"/>
              <w:rPr>
                <w:rFonts w:ascii="Arial" w:hAnsi="Arial" w:cs="Arial"/>
              </w:rPr>
            </w:pPr>
          </w:p>
        </w:tc>
        <w:tc>
          <w:tcPr>
            <w:tcW w:w="799" w:type="dxa"/>
            <w:tcBorders>
              <w:top w:val="single" w:sz="6" w:space="0" w:color="CBCBCB"/>
              <w:left w:val="single" w:sz="6" w:space="0" w:color="000000"/>
              <w:bottom w:val="single" w:sz="6" w:space="0" w:color="CBCBCB"/>
              <w:right w:val="single" w:sz="12" w:space="0" w:color="000000"/>
            </w:tcBorders>
            <w:shd w:val="clear" w:color="auto" w:fill="FFFFFF"/>
            <w:tcMar>
              <w:top w:w="0" w:type="dxa"/>
              <w:left w:w="75" w:type="dxa"/>
              <w:bottom w:w="0" w:type="dxa"/>
              <w:right w:w="75" w:type="dxa"/>
            </w:tcMar>
            <w:vAlign w:val="center"/>
            <w:hideMark/>
          </w:tcPr>
          <w:p w14:paraId="435A4C4E" w14:textId="77777777" w:rsidR="0073336A" w:rsidRPr="0073336A" w:rsidRDefault="0073336A" w:rsidP="0073336A">
            <w:pPr>
              <w:spacing w:line="240" w:lineRule="atLeast"/>
              <w:ind w:left="45"/>
              <w:jc w:val="center"/>
              <w:rPr>
                <w:rFonts w:ascii="Arial" w:hAnsi="Arial" w:cs="Arial"/>
              </w:rPr>
            </w:pPr>
          </w:p>
        </w:tc>
      </w:tr>
      <w:tr w:rsidR="000F7069" w:rsidRPr="0073336A" w14:paraId="4F9F2641" w14:textId="77777777" w:rsidTr="000F7069">
        <w:trPr>
          <w:jc w:val="center"/>
        </w:trPr>
        <w:tc>
          <w:tcPr>
            <w:tcW w:w="719" w:type="dxa"/>
            <w:tcBorders>
              <w:top w:val="single" w:sz="6" w:space="0" w:color="CBCBCB"/>
              <w:left w:val="single" w:sz="12" w:space="0" w:color="000000"/>
              <w:bottom w:val="single" w:sz="6" w:space="0" w:color="CBCBCB"/>
              <w:right w:val="single" w:sz="12" w:space="0" w:color="000000"/>
            </w:tcBorders>
            <w:shd w:val="clear" w:color="auto" w:fill="FFFFFF"/>
            <w:tcMar>
              <w:top w:w="0" w:type="dxa"/>
              <w:left w:w="75" w:type="dxa"/>
              <w:bottom w:w="0" w:type="dxa"/>
              <w:right w:w="75" w:type="dxa"/>
            </w:tcMar>
            <w:hideMark/>
          </w:tcPr>
          <w:p w14:paraId="57A3B336" w14:textId="77777777" w:rsidR="0073336A" w:rsidRPr="0073336A" w:rsidRDefault="0073336A" w:rsidP="0073336A">
            <w:pPr>
              <w:spacing w:line="240" w:lineRule="atLeast"/>
              <w:ind w:left="45"/>
              <w:jc w:val="center"/>
              <w:rPr>
                <w:rFonts w:ascii="Arial" w:hAnsi="Arial" w:cs="Arial"/>
                <w:b/>
              </w:rPr>
            </w:pPr>
            <w:r w:rsidRPr="0073336A">
              <w:rPr>
                <w:rFonts w:ascii="Arial" w:hAnsi="Arial" w:cs="Arial"/>
                <w:b/>
                <w:sz w:val="22"/>
                <w:szCs w:val="22"/>
              </w:rPr>
              <w:t>q8</w:t>
            </w:r>
          </w:p>
        </w:tc>
        <w:tc>
          <w:tcPr>
            <w:tcW w:w="789" w:type="dxa"/>
            <w:tcBorders>
              <w:top w:val="single" w:sz="6" w:space="0" w:color="CBCBCB"/>
              <w:left w:val="single" w:sz="12"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3E1F020C" w14:textId="77777777" w:rsidR="0073336A" w:rsidRPr="0073336A" w:rsidRDefault="0073336A" w:rsidP="0073336A">
            <w:pPr>
              <w:spacing w:line="240" w:lineRule="atLeast"/>
              <w:ind w:left="45"/>
              <w:jc w:val="center"/>
              <w:rPr>
                <w:rFonts w:ascii="Arial" w:hAnsi="Arial" w:cs="Arial"/>
              </w:rPr>
            </w:pPr>
            <w:r w:rsidRPr="0073336A">
              <w:rPr>
                <w:rFonts w:ascii="Arial" w:hAnsi="Arial" w:cs="Arial"/>
                <w:sz w:val="22"/>
                <w:szCs w:val="22"/>
              </w:rPr>
              <w:t>.298</w:t>
            </w:r>
          </w:p>
        </w:tc>
        <w:tc>
          <w:tcPr>
            <w:tcW w:w="720"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469E619F" w14:textId="77777777" w:rsidR="0073336A" w:rsidRPr="0073336A" w:rsidRDefault="0073336A" w:rsidP="0073336A">
            <w:pPr>
              <w:spacing w:line="240" w:lineRule="atLeast"/>
              <w:ind w:left="45"/>
              <w:jc w:val="center"/>
              <w:rPr>
                <w:rFonts w:ascii="Arial" w:hAnsi="Arial" w:cs="Arial"/>
              </w:rPr>
            </w:pPr>
            <w:r w:rsidRPr="0073336A">
              <w:rPr>
                <w:rFonts w:ascii="Arial" w:hAnsi="Arial" w:cs="Arial"/>
                <w:sz w:val="22"/>
                <w:szCs w:val="22"/>
              </w:rPr>
              <w:t>.244</w:t>
            </w:r>
          </w:p>
        </w:tc>
        <w:tc>
          <w:tcPr>
            <w:tcW w:w="78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4513F3BE" w14:textId="77777777" w:rsidR="0073336A" w:rsidRPr="0073336A" w:rsidRDefault="0073336A" w:rsidP="0073336A">
            <w:pPr>
              <w:spacing w:line="240" w:lineRule="atLeast"/>
              <w:ind w:left="45"/>
              <w:jc w:val="center"/>
              <w:rPr>
                <w:rFonts w:ascii="Arial" w:hAnsi="Arial" w:cs="Arial"/>
              </w:rPr>
            </w:pPr>
            <w:r w:rsidRPr="0073336A">
              <w:rPr>
                <w:rFonts w:ascii="Arial" w:hAnsi="Arial" w:cs="Arial"/>
                <w:sz w:val="22"/>
                <w:szCs w:val="22"/>
              </w:rPr>
              <w:t>.312</w:t>
            </w:r>
          </w:p>
        </w:tc>
        <w:tc>
          <w:tcPr>
            <w:tcW w:w="784"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297A97D7" w14:textId="77777777" w:rsidR="0073336A" w:rsidRPr="0073336A" w:rsidRDefault="0073336A" w:rsidP="0073336A">
            <w:pPr>
              <w:spacing w:line="240" w:lineRule="atLeast"/>
              <w:ind w:left="45"/>
              <w:jc w:val="center"/>
              <w:rPr>
                <w:rFonts w:ascii="Arial" w:hAnsi="Arial" w:cs="Arial"/>
              </w:rPr>
            </w:pPr>
            <w:r w:rsidRPr="0073336A">
              <w:rPr>
                <w:rFonts w:ascii="Arial" w:hAnsi="Arial" w:cs="Arial"/>
                <w:sz w:val="22"/>
                <w:szCs w:val="22"/>
              </w:rPr>
              <w:t>.246</w:t>
            </w:r>
          </w:p>
        </w:tc>
        <w:tc>
          <w:tcPr>
            <w:tcW w:w="83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5F1FE872" w14:textId="77777777" w:rsidR="0073336A" w:rsidRPr="0073336A" w:rsidRDefault="0073336A" w:rsidP="0073336A">
            <w:pPr>
              <w:spacing w:line="240" w:lineRule="atLeast"/>
              <w:ind w:left="45"/>
              <w:jc w:val="center"/>
              <w:rPr>
                <w:rFonts w:ascii="Arial" w:hAnsi="Arial" w:cs="Arial"/>
              </w:rPr>
            </w:pPr>
            <w:r w:rsidRPr="0073336A">
              <w:rPr>
                <w:rFonts w:ascii="Arial" w:hAnsi="Arial" w:cs="Arial"/>
                <w:sz w:val="22"/>
                <w:szCs w:val="22"/>
              </w:rPr>
              <w:t>.273</w:t>
            </w:r>
          </w:p>
        </w:tc>
        <w:tc>
          <w:tcPr>
            <w:tcW w:w="739"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66255958" w14:textId="77777777" w:rsidR="0073336A" w:rsidRPr="0073336A" w:rsidRDefault="0073336A" w:rsidP="0073336A">
            <w:pPr>
              <w:spacing w:line="240" w:lineRule="atLeast"/>
              <w:ind w:left="45"/>
              <w:jc w:val="center"/>
              <w:rPr>
                <w:rFonts w:ascii="Arial" w:hAnsi="Arial" w:cs="Arial"/>
              </w:rPr>
            </w:pPr>
            <w:r w:rsidRPr="0073336A">
              <w:rPr>
                <w:rFonts w:ascii="Arial" w:hAnsi="Arial" w:cs="Arial"/>
                <w:sz w:val="22"/>
                <w:szCs w:val="22"/>
              </w:rPr>
              <w:t>.241</w:t>
            </w:r>
          </w:p>
        </w:tc>
        <w:tc>
          <w:tcPr>
            <w:tcW w:w="782"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41E16F71" w14:textId="77777777" w:rsidR="0073336A" w:rsidRPr="0073336A" w:rsidRDefault="0073336A" w:rsidP="0073336A">
            <w:pPr>
              <w:spacing w:line="240" w:lineRule="atLeast"/>
              <w:ind w:left="45"/>
              <w:jc w:val="center"/>
              <w:rPr>
                <w:rFonts w:ascii="Arial" w:hAnsi="Arial" w:cs="Arial"/>
              </w:rPr>
            </w:pPr>
            <w:r w:rsidRPr="0073336A">
              <w:rPr>
                <w:rFonts w:ascii="Arial" w:hAnsi="Arial" w:cs="Arial"/>
                <w:sz w:val="22"/>
                <w:szCs w:val="22"/>
              </w:rPr>
              <w:t>.267</w:t>
            </w:r>
          </w:p>
        </w:tc>
        <w:tc>
          <w:tcPr>
            <w:tcW w:w="689"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007D202A" w14:textId="77777777" w:rsidR="0073336A" w:rsidRPr="0073336A" w:rsidRDefault="0073336A" w:rsidP="0073336A">
            <w:pPr>
              <w:spacing w:line="240" w:lineRule="atLeast"/>
              <w:ind w:left="45"/>
              <w:jc w:val="center"/>
              <w:rPr>
                <w:rFonts w:ascii="Arial" w:hAnsi="Arial" w:cs="Arial"/>
              </w:rPr>
            </w:pPr>
            <w:r w:rsidRPr="0073336A">
              <w:rPr>
                <w:rFonts w:ascii="Arial" w:hAnsi="Arial" w:cs="Arial"/>
                <w:sz w:val="22"/>
                <w:szCs w:val="22"/>
              </w:rPr>
              <w:t>.403</w:t>
            </w:r>
          </w:p>
        </w:tc>
        <w:tc>
          <w:tcPr>
            <w:tcW w:w="835"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5B47A421" w14:textId="77777777" w:rsidR="0073336A" w:rsidRPr="0073336A" w:rsidRDefault="0073336A" w:rsidP="0073336A">
            <w:pPr>
              <w:spacing w:line="240" w:lineRule="atLeast"/>
              <w:ind w:left="45"/>
              <w:jc w:val="center"/>
              <w:rPr>
                <w:rFonts w:ascii="Arial" w:hAnsi="Arial" w:cs="Arial"/>
              </w:rPr>
            </w:pPr>
            <w:r w:rsidRPr="0073336A">
              <w:rPr>
                <w:rFonts w:ascii="Arial" w:hAnsi="Arial" w:cs="Arial"/>
                <w:sz w:val="22"/>
                <w:szCs w:val="22"/>
              </w:rPr>
              <w:t>.296</w:t>
            </w:r>
          </w:p>
        </w:tc>
        <w:tc>
          <w:tcPr>
            <w:tcW w:w="685"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66705AA8" w14:textId="77777777" w:rsidR="0073336A" w:rsidRPr="0073336A" w:rsidRDefault="0073336A" w:rsidP="0073336A">
            <w:pPr>
              <w:spacing w:line="240" w:lineRule="atLeast"/>
              <w:ind w:left="45"/>
              <w:jc w:val="center"/>
              <w:rPr>
                <w:rFonts w:ascii="Arial" w:hAnsi="Arial" w:cs="Arial"/>
              </w:rPr>
            </w:pPr>
            <w:r w:rsidRPr="0073336A">
              <w:rPr>
                <w:rFonts w:ascii="Arial" w:hAnsi="Arial" w:cs="Arial"/>
                <w:sz w:val="22"/>
                <w:szCs w:val="22"/>
              </w:rPr>
              <w:t>.293</w:t>
            </w:r>
          </w:p>
        </w:tc>
        <w:tc>
          <w:tcPr>
            <w:tcW w:w="690"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7F52CE12" w14:textId="77777777" w:rsidR="0073336A" w:rsidRPr="0073336A" w:rsidRDefault="0073336A" w:rsidP="0073336A">
            <w:pPr>
              <w:spacing w:line="240" w:lineRule="atLeast"/>
              <w:ind w:left="45"/>
              <w:jc w:val="center"/>
              <w:rPr>
                <w:rFonts w:ascii="Arial" w:hAnsi="Arial" w:cs="Arial"/>
              </w:rPr>
            </w:pPr>
            <w:r w:rsidRPr="0073336A">
              <w:rPr>
                <w:rFonts w:ascii="Arial" w:hAnsi="Arial" w:cs="Arial"/>
                <w:sz w:val="22"/>
                <w:szCs w:val="22"/>
              </w:rPr>
              <w:t>.295</w:t>
            </w:r>
          </w:p>
        </w:tc>
        <w:tc>
          <w:tcPr>
            <w:tcW w:w="682"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26B89016" w14:textId="77777777" w:rsidR="0073336A" w:rsidRPr="0073336A" w:rsidRDefault="0073336A" w:rsidP="0073336A">
            <w:pPr>
              <w:spacing w:line="240" w:lineRule="atLeast"/>
              <w:ind w:left="45"/>
              <w:jc w:val="center"/>
              <w:rPr>
                <w:rFonts w:ascii="Arial" w:hAnsi="Arial" w:cs="Arial"/>
              </w:rPr>
            </w:pPr>
            <w:r w:rsidRPr="0073336A">
              <w:rPr>
                <w:rFonts w:ascii="Arial" w:hAnsi="Arial" w:cs="Arial"/>
                <w:sz w:val="22"/>
                <w:szCs w:val="22"/>
              </w:rPr>
              <w:t>1.00</w:t>
            </w:r>
          </w:p>
        </w:tc>
        <w:tc>
          <w:tcPr>
            <w:tcW w:w="820"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117C6619" w14:textId="77777777" w:rsidR="0073336A" w:rsidRPr="0073336A" w:rsidRDefault="0073336A" w:rsidP="0073336A">
            <w:pPr>
              <w:spacing w:line="240" w:lineRule="atLeast"/>
              <w:ind w:left="45"/>
              <w:jc w:val="center"/>
              <w:rPr>
                <w:rFonts w:ascii="Arial" w:hAnsi="Arial" w:cs="Arial"/>
              </w:rPr>
            </w:pPr>
          </w:p>
        </w:tc>
        <w:tc>
          <w:tcPr>
            <w:tcW w:w="825"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6C659935" w14:textId="77777777" w:rsidR="0073336A" w:rsidRPr="0073336A" w:rsidRDefault="0073336A" w:rsidP="0073336A">
            <w:pPr>
              <w:spacing w:line="240" w:lineRule="atLeast"/>
              <w:ind w:left="45"/>
              <w:jc w:val="center"/>
              <w:rPr>
                <w:rFonts w:ascii="Arial" w:hAnsi="Arial" w:cs="Arial"/>
              </w:rPr>
            </w:pPr>
          </w:p>
        </w:tc>
        <w:tc>
          <w:tcPr>
            <w:tcW w:w="799" w:type="dxa"/>
            <w:tcBorders>
              <w:top w:val="single" w:sz="6" w:space="0" w:color="CBCBCB"/>
              <w:left w:val="single" w:sz="6" w:space="0" w:color="000000"/>
              <w:bottom w:val="single" w:sz="6" w:space="0" w:color="CBCBCB"/>
              <w:right w:val="single" w:sz="12" w:space="0" w:color="000000"/>
            </w:tcBorders>
            <w:shd w:val="clear" w:color="auto" w:fill="FFFFFF"/>
            <w:tcMar>
              <w:top w:w="0" w:type="dxa"/>
              <w:left w:w="75" w:type="dxa"/>
              <w:bottom w:w="0" w:type="dxa"/>
              <w:right w:w="75" w:type="dxa"/>
            </w:tcMar>
            <w:vAlign w:val="center"/>
            <w:hideMark/>
          </w:tcPr>
          <w:p w14:paraId="10B37513" w14:textId="77777777" w:rsidR="0073336A" w:rsidRPr="0073336A" w:rsidRDefault="0073336A" w:rsidP="0073336A">
            <w:pPr>
              <w:spacing w:line="240" w:lineRule="atLeast"/>
              <w:ind w:left="45"/>
              <w:jc w:val="center"/>
              <w:rPr>
                <w:rFonts w:ascii="Arial" w:hAnsi="Arial" w:cs="Arial"/>
              </w:rPr>
            </w:pPr>
          </w:p>
        </w:tc>
      </w:tr>
      <w:tr w:rsidR="000F7069" w:rsidRPr="0073336A" w14:paraId="4F376E09" w14:textId="77777777" w:rsidTr="000F7069">
        <w:trPr>
          <w:jc w:val="center"/>
        </w:trPr>
        <w:tc>
          <w:tcPr>
            <w:tcW w:w="719" w:type="dxa"/>
            <w:tcBorders>
              <w:top w:val="single" w:sz="6" w:space="0" w:color="CBCBCB"/>
              <w:left w:val="single" w:sz="12" w:space="0" w:color="000000"/>
              <w:bottom w:val="single" w:sz="6" w:space="0" w:color="CBCBCB"/>
              <w:right w:val="single" w:sz="12" w:space="0" w:color="000000"/>
            </w:tcBorders>
            <w:shd w:val="clear" w:color="auto" w:fill="FFFFFF"/>
            <w:tcMar>
              <w:top w:w="0" w:type="dxa"/>
              <w:left w:w="75" w:type="dxa"/>
              <w:bottom w:w="0" w:type="dxa"/>
              <w:right w:w="75" w:type="dxa"/>
            </w:tcMar>
            <w:hideMark/>
          </w:tcPr>
          <w:p w14:paraId="278B68FA" w14:textId="77777777" w:rsidR="0073336A" w:rsidRPr="0073336A" w:rsidRDefault="0073336A" w:rsidP="0073336A">
            <w:pPr>
              <w:spacing w:line="240" w:lineRule="atLeast"/>
              <w:ind w:left="45"/>
              <w:jc w:val="center"/>
              <w:rPr>
                <w:rFonts w:ascii="Arial" w:hAnsi="Arial" w:cs="Arial"/>
                <w:b/>
              </w:rPr>
            </w:pPr>
            <w:r w:rsidRPr="0073336A">
              <w:rPr>
                <w:rFonts w:ascii="Arial" w:hAnsi="Arial" w:cs="Arial"/>
                <w:b/>
                <w:sz w:val="22"/>
                <w:szCs w:val="22"/>
              </w:rPr>
              <w:t>q9</w:t>
            </w:r>
          </w:p>
        </w:tc>
        <w:tc>
          <w:tcPr>
            <w:tcW w:w="789" w:type="dxa"/>
            <w:tcBorders>
              <w:top w:val="single" w:sz="6" w:space="0" w:color="CBCBCB"/>
              <w:left w:val="single" w:sz="12"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2A46FEBC" w14:textId="77777777" w:rsidR="0073336A" w:rsidRPr="0073336A" w:rsidRDefault="0073336A" w:rsidP="0073336A">
            <w:pPr>
              <w:spacing w:line="240" w:lineRule="atLeast"/>
              <w:ind w:left="45"/>
              <w:jc w:val="center"/>
              <w:rPr>
                <w:rFonts w:ascii="Arial" w:hAnsi="Arial" w:cs="Arial"/>
              </w:rPr>
            </w:pPr>
            <w:r w:rsidRPr="0073336A">
              <w:rPr>
                <w:rFonts w:ascii="Arial" w:hAnsi="Arial" w:cs="Arial"/>
                <w:sz w:val="22"/>
                <w:szCs w:val="22"/>
              </w:rPr>
              <w:t>.160</w:t>
            </w:r>
          </w:p>
        </w:tc>
        <w:tc>
          <w:tcPr>
            <w:tcW w:w="720"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00A749D1" w14:textId="77777777" w:rsidR="0073336A" w:rsidRPr="0073336A" w:rsidRDefault="0073336A" w:rsidP="0073336A">
            <w:pPr>
              <w:spacing w:line="240" w:lineRule="atLeast"/>
              <w:ind w:left="45"/>
              <w:jc w:val="center"/>
              <w:rPr>
                <w:rFonts w:ascii="Arial" w:hAnsi="Arial" w:cs="Arial"/>
              </w:rPr>
            </w:pPr>
            <w:r w:rsidRPr="0073336A">
              <w:rPr>
                <w:rFonts w:ascii="Arial" w:hAnsi="Arial" w:cs="Arial"/>
                <w:sz w:val="22"/>
                <w:szCs w:val="22"/>
              </w:rPr>
              <w:t>.131</w:t>
            </w:r>
          </w:p>
        </w:tc>
        <w:tc>
          <w:tcPr>
            <w:tcW w:w="78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2CC79066" w14:textId="77777777" w:rsidR="0073336A" w:rsidRPr="0073336A" w:rsidRDefault="0073336A" w:rsidP="0073336A">
            <w:pPr>
              <w:spacing w:line="240" w:lineRule="atLeast"/>
              <w:ind w:left="45"/>
              <w:jc w:val="center"/>
              <w:rPr>
                <w:rFonts w:ascii="Arial" w:hAnsi="Arial" w:cs="Arial"/>
              </w:rPr>
            </w:pPr>
            <w:r w:rsidRPr="0073336A">
              <w:rPr>
                <w:rFonts w:ascii="Arial" w:hAnsi="Arial" w:cs="Arial"/>
                <w:sz w:val="22"/>
                <w:szCs w:val="22"/>
              </w:rPr>
              <w:t>.089</w:t>
            </w:r>
          </w:p>
        </w:tc>
        <w:tc>
          <w:tcPr>
            <w:tcW w:w="784"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7EFB58BE" w14:textId="77777777" w:rsidR="0073336A" w:rsidRPr="0073336A" w:rsidRDefault="0073336A" w:rsidP="0073336A">
            <w:pPr>
              <w:spacing w:line="240" w:lineRule="atLeast"/>
              <w:ind w:left="45"/>
              <w:jc w:val="center"/>
              <w:rPr>
                <w:rFonts w:ascii="Arial" w:hAnsi="Arial" w:cs="Arial"/>
              </w:rPr>
            </w:pPr>
            <w:r w:rsidRPr="0073336A">
              <w:rPr>
                <w:rFonts w:ascii="Arial" w:hAnsi="Arial" w:cs="Arial"/>
                <w:sz w:val="22"/>
                <w:szCs w:val="22"/>
              </w:rPr>
              <w:t>.148</w:t>
            </w:r>
          </w:p>
        </w:tc>
        <w:tc>
          <w:tcPr>
            <w:tcW w:w="83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0B886581" w14:textId="77777777" w:rsidR="0073336A" w:rsidRPr="0073336A" w:rsidRDefault="0073336A" w:rsidP="0073336A">
            <w:pPr>
              <w:spacing w:line="240" w:lineRule="atLeast"/>
              <w:ind w:left="45"/>
              <w:jc w:val="center"/>
              <w:rPr>
                <w:rFonts w:ascii="Arial" w:hAnsi="Arial" w:cs="Arial"/>
              </w:rPr>
            </w:pPr>
            <w:r w:rsidRPr="0073336A">
              <w:rPr>
                <w:rFonts w:ascii="Arial" w:hAnsi="Arial" w:cs="Arial"/>
                <w:sz w:val="22"/>
                <w:szCs w:val="22"/>
              </w:rPr>
              <w:t>.145</w:t>
            </w:r>
          </w:p>
        </w:tc>
        <w:tc>
          <w:tcPr>
            <w:tcW w:w="739"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0AAAB419" w14:textId="77777777" w:rsidR="0073336A" w:rsidRPr="0073336A" w:rsidRDefault="0073336A" w:rsidP="0073336A">
            <w:pPr>
              <w:spacing w:line="240" w:lineRule="atLeast"/>
              <w:ind w:left="45"/>
              <w:jc w:val="center"/>
              <w:rPr>
                <w:rFonts w:ascii="Arial" w:hAnsi="Arial" w:cs="Arial"/>
              </w:rPr>
            </w:pPr>
            <w:r w:rsidRPr="0073336A">
              <w:rPr>
                <w:rFonts w:ascii="Arial" w:hAnsi="Arial" w:cs="Arial"/>
                <w:sz w:val="22"/>
                <w:szCs w:val="22"/>
              </w:rPr>
              <w:t>.129</w:t>
            </w:r>
          </w:p>
        </w:tc>
        <w:tc>
          <w:tcPr>
            <w:tcW w:w="782"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51CBD954" w14:textId="77777777" w:rsidR="0073336A" w:rsidRPr="0073336A" w:rsidRDefault="0073336A" w:rsidP="0073336A">
            <w:pPr>
              <w:spacing w:line="240" w:lineRule="atLeast"/>
              <w:ind w:left="45"/>
              <w:jc w:val="center"/>
              <w:rPr>
                <w:rFonts w:ascii="Arial" w:hAnsi="Arial" w:cs="Arial"/>
              </w:rPr>
            </w:pPr>
            <w:r w:rsidRPr="0073336A">
              <w:rPr>
                <w:rFonts w:ascii="Arial" w:hAnsi="Arial" w:cs="Arial"/>
                <w:sz w:val="22"/>
                <w:szCs w:val="22"/>
              </w:rPr>
              <w:t>.155</w:t>
            </w:r>
          </w:p>
        </w:tc>
        <w:tc>
          <w:tcPr>
            <w:tcW w:w="689"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145D58D7" w14:textId="77777777" w:rsidR="0073336A" w:rsidRPr="0073336A" w:rsidRDefault="0073336A" w:rsidP="0073336A">
            <w:pPr>
              <w:spacing w:line="240" w:lineRule="atLeast"/>
              <w:ind w:left="45"/>
              <w:jc w:val="center"/>
              <w:rPr>
                <w:rFonts w:ascii="Arial" w:hAnsi="Arial" w:cs="Arial"/>
              </w:rPr>
            </w:pPr>
            <w:r w:rsidRPr="0073336A">
              <w:rPr>
                <w:rFonts w:ascii="Arial" w:hAnsi="Arial" w:cs="Arial"/>
                <w:sz w:val="22"/>
                <w:szCs w:val="22"/>
              </w:rPr>
              <w:t>.135</w:t>
            </w:r>
          </w:p>
        </w:tc>
        <w:tc>
          <w:tcPr>
            <w:tcW w:w="835"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5C25E41B" w14:textId="77777777" w:rsidR="0073336A" w:rsidRPr="0073336A" w:rsidRDefault="0073336A" w:rsidP="0073336A">
            <w:pPr>
              <w:spacing w:line="240" w:lineRule="atLeast"/>
              <w:ind w:left="45"/>
              <w:jc w:val="center"/>
              <w:rPr>
                <w:rFonts w:ascii="Arial" w:hAnsi="Arial" w:cs="Arial"/>
              </w:rPr>
            </w:pPr>
            <w:r w:rsidRPr="0073336A">
              <w:rPr>
                <w:rFonts w:ascii="Arial" w:hAnsi="Arial" w:cs="Arial"/>
                <w:sz w:val="22"/>
                <w:szCs w:val="22"/>
              </w:rPr>
              <w:t>.177</w:t>
            </w:r>
          </w:p>
        </w:tc>
        <w:tc>
          <w:tcPr>
            <w:tcW w:w="685"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34ACBBE5" w14:textId="77777777" w:rsidR="0073336A" w:rsidRPr="0073336A" w:rsidRDefault="0073336A" w:rsidP="0073336A">
            <w:pPr>
              <w:spacing w:line="240" w:lineRule="atLeast"/>
              <w:ind w:left="45"/>
              <w:jc w:val="center"/>
              <w:rPr>
                <w:rFonts w:ascii="Arial" w:hAnsi="Arial" w:cs="Arial"/>
              </w:rPr>
            </w:pPr>
            <w:r w:rsidRPr="0073336A">
              <w:rPr>
                <w:rFonts w:ascii="Arial" w:hAnsi="Arial" w:cs="Arial"/>
                <w:sz w:val="22"/>
                <w:szCs w:val="22"/>
              </w:rPr>
              <w:t>.132</w:t>
            </w:r>
          </w:p>
        </w:tc>
        <w:tc>
          <w:tcPr>
            <w:tcW w:w="690"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61B12318" w14:textId="77777777" w:rsidR="0073336A" w:rsidRPr="0073336A" w:rsidRDefault="0073336A" w:rsidP="0073336A">
            <w:pPr>
              <w:spacing w:line="240" w:lineRule="atLeast"/>
              <w:ind w:left="45"/>
              <w:jc w:val="center"/>
              <w:rPr>
                <w:rFonts w:ascii="Arial" w:hAnsi="Arial" w:cs="Arial"/>
              </w:rPr>
            </w:pPr>
            <w:r w:rsidRPr="0073336A">
              <w:rPr>
                <w:rFonts w:ascii="Arial" w:hAnsi="Arial" w:cs="Arial"/>
                <w:sz w:val="22"/>
                <w:szCs w:val="22"/>
              </w:rPr>
              <w:t>.158</w:t>
            </w:r>
          </w:p>
        </w:tc>
        <w:tc>
          <w:tcPr>
            <w:tcW w:w="682"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639C46EE" w14:textId="77777777" w:rsidR="0073336A" w:rsidRPr="0073336A" w:rsidRDefault="0073336A" w:rsidP="0073336A">
            <w:pPr>
              <w:spacing w:line="240" w:lineRule="atLeast"/>
              <w:ind w:left="45"/>
              <w:jc w:val="center"/>
              <w:rPr>
                <w:rFonts w:ascii="Arial" w:hAnsi="Arial" w:cs="Arial"/>
              </w:rPr>
            </w:pPr>
            <w:r w:rsidRPr="0073336A">
              <w:rPr>
                <w:rFonts w:ascii="Arial" w:hAnsi="Arial" w:cs="Arial"/>
                <w:sz w:val="22"/>
                <w:szCs w:val="22"/>
              </w:rPr>
              <w:t>.185</w:t>
            </w:r>
          </w:p>
        </w:tc>
        <w:tc>
          <w:tcPr>
            <w:tcW w:w="820"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7D59F1EC" w14:textId="77777777" w:rsidR="0073336A" w:rsidRPr="0073336A" w:rsidRDefault="0073336A" w:rsidP="0073336A">
            <w:pPr>
              <w:spacing w:line="240" w:lineRule="atLeast"/>
              <w:ind w:left="45"/>
              <w:jc w:val="center"/>
              <w:rPr>
                <w:rFonts w:ascii="Arial" w:hAnsi="Arial" w:cs="Arial"/>
              </w:rPr>
            </w:pPr>
            <w:r w:rsidRPr="0073336A">
              <w:rPr>
                <w:rFonts w:ascii="Arial" w:hAnsi="Arial" w:cs="Arial"/>
                <w:sz w:val="22"/>
                <w:szCs w:val="22"/>
              </w:rPr>
              <w:t>1.00</w:t>
            </w:r>
          </w:p>
        </w:tc>
        <w:tc>
          <w:tcPr>
            <w:tcW w:w="825"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7EA2E64A" w14:textId="77777777" w:rsidR="0073336A" w:rsidRPr="0073336A" w:rsidRDefault="0073336A" w:rsidP="0073336A">
            <w:pPr>
              <w:spacing w:line="240" w:lineRule="atLeast"/>
              <w:ind w:left="45"/>
              <w:jc w:val="center"/>
              <w:rPr>
                <w:rFonts w:ascii="Arial" w:hAnsi="Arial" w:cs="Arial"/>
              </w:rPr>
            </w:pPr>
          </w:p>
        </w:tc>
        <w:tc>
          <w:tcPr>
            <w:tcW w:w="799" w:type="dxa"/>
            <w:tcBorders>
              <w:top w:val="single" w:sz="6" w:space="0" w:color="CBCBCB"/>
              <w:left w:val="single" w:sz="6" w:space="0" w:color="000000"/>
              <w:bottom w:val="single" w:sz="6" w:space="0" w:color="CBCBCB"/>
              <w:right w:val="single" w:sz="12" w:space="0" w:color="000000"/>
            </w:tcBorders>
            <w:shd w:val="clear" w:color="auto" w:fill="FFFFFF"/>
            <w:tcMar>
              <w:top w:w="0" w:type="dxa"/>
              <w:left w:w="75" w:type="dxa"/>
              <w:bottom w:w="0" w:type="dxa"/>
              <w:right w:w="75" w:type="dxa"/>
            </w:tcMar>
            <w:vAlign w:val="center"/>
            <w:hideMark/>
          </w:tcPr>
          <w:p w14:paraId="4A6992F4" w14:textId="77777777" w:rsidR="0073336A" w:rsidRPr="0073336A" w:rsidRDefault="0073336A" w:rsidP="0073336A">
            <w:pPr>
              <w:spacing w:line="240" w:lineRule="atLeast"/>
              <w:ind w:left="45"/>
              <w:jc w:val="center"/>
              <w:rPr>
                <w:rFonts w:ascii="Arial" w:hAnsi="Arial" w:cs="Arial"/>
              </w:rPr>
            </w:pPr>
          </w:p>
        </w:tc>
      </w:tr>
      <w:tr w:rsidR="000F7069" w:rsidRPr="0073336A" w14:paraId="77F2B292" w14:textId="77777777" w:rsidTr="000F7069">
        <w:trPr>
          <w:jc w:val="center"/>
        </w:trPr>
        <w:tc>
          <w:tcPr>
            <w:tcW w:w="719" w:type="dxa"/>
            <w:tcBorders>
              <w:top w:val="single" w:sz="6" w:space="0" w:color="CBCBCB"/>
              <w:left w:val="single" w:sz="12" w:space="0" w:color="000000"/>
              <w:bottom w:val="single" w:sz="6" w:space="0" w:color="CBCBCB"/>
              <w:right w:val="single" w:sz="12" w:space="0" w:color="000000"/>
            </w:tcBorders>
            <w:shd w:val="clear" w:color="auto" w:fill="FFFFFF"/>
            <w:tcMar>
              <w:top w:w="0" w:type="dxa"/>
              <w:left w:w="75" w:type="dxa"/>
              <w:bottom w:w="0" w:type="dxa"/>
              <w:right w:w="75" w:type="dxa"/>
            </w:tcMar>
            <w:hideMark/>
          </w:tcPr>
          <w:p w14:paraId="1C852F7B" w14:textId="77777777" w:rsidR="0073336A" w:rsidRPr="0073336A" w:rsidRDefault="0073336A" w:rsidP="0073336A">
            <w:pPr>
              <w:spacing w:line="240" w:lineRule="atLeast"/>
              <w:ind w:left="45"/>
              <w:jc w:val="center"/>
              <w:rPr>
                <w:rFonts w:ascii="Arial" w:hAnsi="Arial" w:cs="Arial"/>
                <w:b/>
              </w:rPr>
            </w:pPr>
            <w:r w:rsidRPr="0073336A">
              <w:rPr>
                <w:rFonts w:ascii="Arial" w:hAnsi="Arial" w:cs="Arial"/>
                <w:b/>
                <w:sz w:val="22"/>
                <w:szCs w:val="22"/>
              </w:rPr>
              <w:t>q10</w:t>
            </w:r>
          </w:p>
        </w:tc>
        <w:tc>
          <w:tcPr>
            <w:tcW w:w="789" w:type="dxa"/>
            <w:tcBorders>
              <w:top w:val="single" w:sz="6" w:space="0" w:color="CBCBCB"/>
              <w:left w:val="single" w:sz="12"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3C7B3DDA" w14:textId="77777777" w:rsidR="0073336A" w:rsidRPr="0073336A" w:rsidRDefault="0073336A" w:rsidP="0073336A">
            <w:pPr>
              <w:spacing w:line="240" w:lineRule="atLeast"/>
              <w:ind w:left="45"/>
              <w:jc w:val="center"/>
              <w:rPr>
                <w:rFonts w:ascii="Arial" w:hAnsi="Arial" w:cs="Arial"/>
              </w:rPr>
            </w:pPr>
            <w:r w:rsidRPr="0073336A">
              <w:rPr>
                <w:rFonts w:ascii="Arial" w:hAnsi="Arial" w:cs="Arial"/>
                <w:sz w:val="22"/>
                <w:szCs w:val="22"/>
              </w:rPr>
              <w:t>.069</w:t>
            </w:r>
          </w:p>
        </w:tc>
        <w:tc>
          <w:tcPr>
            <w:tcW w:w="720"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5F00A890" w14:textId="77777777" w:rsidR="0073336A" w:rsidRPr="0073336A" w:rsidRDefault="0073336A" w:rsidP="0073336A">
            <w:pPr>
              <w:spacing w:line="240" w:lineRule="atLeast"/>
              <w:ind w:left="45"/>
              <w:jc w:val="center"/>
              <w:rPr>
                <w:rFonts w:ascii="Arial" w:hAnsi="Arial" w:cs="Arial"/>
              </w:rPr>
            </w:pPr>
            <w:r w:rsidRPr="0073336A">
              <w:rPr>
                <w:rFonts w:ascii="Arial" w:hAnsi="Arial" w:cs="Arial"/>
                <w:sz w:val="22"/>
                <w:szCs w:val="22"/>
              </w:rPr>
              <w:t>.030</w:t>
            </w:r>
          </w:p>
        </w:tc>
        <w:tc>
          <w:tcPr>
            <w:tcW w:w="78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374F8A62" w14:textId="77777777" w:rsidR="0073336A" w:rsidRPr="0073336A" w:rsidRDefault="0073336A" w:rsidP="0073336A">
            <w:pPr>
              <w:spacing w:line="240" w:lineRule="atLeast"/>
              <w:ind w:left="45"/>
              <w:jc w:val="center"/>
              <w:rPr>
                <w:rFonts w:ascii="Arial" w:hAnsi="Arial" w:cs="Arial"/>
              </w:rPr>
            </w:pPr>
            <w:r w:rsidRPr="0073336A">
              <w:rPr>
                <w:rFonts w:ascii="Arial" w:hAnsi="Arial" w:cs="Arial"/>
                <w:sz w:val="22"/>
                <w:szCs w:val="22"/>
              </w:rPr>
              <w:t>-.002</w:t>
            </w:r>
          </w:p>
        </w:tc>
        <w:tc>
          <w:tcPr>
            <w:tcW w:w="784"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017CA4ED" w14:textId="77777777" w:rsidR="0073336A" w:rsidRPr="0073336A" w:rsidRDefault="0073336A" w:rsidP="0073336A">
            <w:pPr>
              <w:spacing w:line="240" w:lineRule="atLeast"/>
              <w:ind w:left="45"/>
              <w:jc w:val="center"/>
              <w:rPr>
                <w:rFonts w:ascii="Arial" w:hAnsi="Arial" w:cs="Arial"/>
              </w:rPr>
            </w:pPr>
            <w:r w:rsidRPr="0073336A">
              <w:rPr>
                <w:rFonts w:ascii="Arial" w:hAnsi="Arial" w:cs="Arial"/>
                <w:sz w:val="22"/>
                <w:szCs w:val="22"/>
              </w:rPr>
              <w:t>-.043</w:t>
            </w:r>
          </w:p>
        </w:tc>
        <w:tc>
          <w:tcPr>
            <w:tcW w:w="836"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25CFCAFA" w14:textId="77777777" w:rsidR="0073336A" w:rsidRPr="0073336A" w:rsidRDefault="0073336A" w:rsidP="0073336A">
            <w:pPr>
              <w:spacing w:line="240" w:lineRule="atLeast"/>
              <w:ind w:left="45"/>
              <w:jc w:val="center"/>
              <w:rPr>
                <w:rFonts w:ascii="Arial" w:hAnsi="Arial" w:cs="Arial"/>
              </w:rPr>
            </w:pPr>
            <w:r w:rsidRPr="0073336A">
              <w:rPr>
                <w:rFonts w:ascii="Arial" w:hAnsi="Arial" w:cs="Arial"/>
                <w:sz w:val="22"/>
                <w:szCs w:val="22"/>
              </w:rPr>
              <w:t>-.061</w:t>
            </w:r>
          </w:p>
        </w:tc>
        <w:tc>
          <w:tcPr>
            <w:tcW w:w="739"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2FAA991C" w14:textId="77777777" w:rsidR="0073336A" w:rsidRPr="0073336A" w:rsidRDefault="0073336A" w:rsidP="0073336A">
            <w:pPr>
              <w:spacing w:line="240" w:lineRule="atLeast"/>
              <w:ind w:left="45"/>
              <w:jc w:val="center"/>
              <w:rPr>
                <w:rFonts w:ascii="Arial" w:hAnsi="Arial" w:cs="Arial"/>
              </w:rPr>
            </w:pPr>
            <w:r w:rsidRPr="0073336A">
              <w:rPr>
                <w:rFonts w:ascii="Arial" w:hAnsi="Arial" w:cs="Arial"/>
                <w:sz w:val="22"/>
                <w:szCs w:val="22"/>
              </w:rPr>
              <w:t>.004</w:t>
            </w:r>
          </w:p>
        </w:tc>
        <w:tc>
          <w:tcPr>
            <w:tcW w:w="782"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3EC0A6AB" w14:textId="77777777" w:rsidR="0073336A" w:rsidRPr="0073336A" w:rsidRDefault="0073336A" w:rsidP="0073336A">
            <w:pPr>
              <w:spacing w:line="240" w:lineRule="atLeast"/>
              <w:ind w:left="45"/>
              <w:jc w:val="center"/>
              <w:rPr>
                <w:rFonts w:ascii="Arial" w:hAnsi="Arial" w:cs="Arial"/>
              </w:rPr>
            </w:pPr>
            <w:r w:rsidRPr="0073336A">
              <w:rPr>
                <w:rFonts w:ascii="Arial" w:hAnsi="Arial" w:cs="Arial"/>
                <w:sz w:val="22"/>
                <w:szCs w:val="22"/>
              </w:rPr>
              <w:t>.091</w:t>
            </w:r>
          </w:p>
        </w:tc>
        <w:tc>
          <w:tcPr>
            <w:tcW w:w="689"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7FC6C7FE" w14:textId="77777777" w:rsidR="0073336A" w:rsidRPr="0073336A" w:rsidRDefault="0073336A" w:rsidP="0073336A">
            <w:pPr>
              <w:spacing w:line="240" w:lineRule="atLeast"/>
              <w:ind w:left="45"/>
              <w:jc w:val="center"/>
              <w:rPr>
                <w:rFonts w:ascii="Arial" w:hAnsi="Arial" w:cs="Arial"/>
              </w:rPr>
            </w:pPr>
            <w:r w:rsidRPr="0073336A">
              <w:rPr>
                <w:rFonts w:ascii="Arial" w:hAnsi="Arial" w:cs="Arial"/>
                <w:sz w:val="22"/>
                <w:szCs w:val="22"/>
              </w:rPr>
              <w:t>.063</w:t>
            </w:r>
          </w:p>
        </w:tc>
        <w:tc>
          <w:tcPr>
            <w:tcW w:w="835"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07F369F1" w14:textId="77777777" w:rsidR="0073336A" w:rsidRPr="0073336A" w:rsidRDefault="0073336A" w:rsidP="0073336A">
            <w:pPr>
              <w:spacing w:line="240" w:lineRule="atLeast"/>
              <w:ind w:left="45"/>
              <w:jc w:val="center"/>
              <w:rPr>
                <w:rFonts w:ascii="Arial" w:hAnsi="Arial" w:cs="Arial"/>
              </w:rPr>
            </w:pPr>
            <w:r w:rsidRPr="0073336A">
              <w:rPr>
                <w:rFonts w:ascii="Arial" w:hAnsi="Arial" w:cs="Arial"/>
                <w:sz w:val="22"/>
                <w:szCs w:val="22"/>
              </w:rPr>
              <w:t>-.014</w:t>
            </w:r>
          </w:p>
        </w:tc>
        <w:tc>
          <w:tcPr>
            <w:tcW w:w="685"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2033F009" w14:textId="77777777" w:rsidR="0073336A" w:rsidRPr="0073336A" w:rsidRDefault="0073336A" w:rsidP="0073336A">
            <w:pPr>
              <w:spacing w:line="240" w:lineRule="atLeast"/>
              <w:ind w:left="45"/>
              <w:jc w:val="center"/>
              <w:rPr>
                <w:rFonts w:ascii="Arial" w:hAnsi="Arial" w:cs="Arial"/>
              </w:rPr>
            </w:pPr>
            <w:r w:rsidRPr="0073336A">
              <w:rPr>
                <w:rFonts w:ascii="Arial" w:hAnsi="Arial" w:cs="Arial"/>
                <w:sz w:val="22"/>
                <w:szCs w:val="22"/>
              </w:rPr>
              <w:t>.021</w:t>
            </w:r>
          </w:p>
        </w:tc>
        <w:tc>
          <w:tcPr>
            <w:tcW w:w="690"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038C4691" w14:textId="77777777" w:rsidR="0073336A" w:rsidRPr="0073336A" w:rsidRDefault="0073336A" w:rsidP="0073336A">
            <w:pPr>
              <w:spacing w:line="240" w:lineRule="atLeast"/>
              <w:ind w:left="45"/>
              <w:jc w:val="center"/>
              <w:rPr>
                <w:rFonts w:ascii="Arial" w:hAnsi="Arial" w:cs="Arial"/>
              </w:rPr>
            </w:pPr>
            <w:r w:rsidRPr="0073336A">
              <w:rPr>
                <w:rFonts w:ascii="Arial" w:hAnsi="Arial" w:cs="Arial"/>
                <w:sz w:val="22"/>
                <w:szCs w:val="22"/>
              </w:rPr>
              <w:t>.007</w:t>
            </w:r>
          </w:p>
        </w:tc>
        <w:tc>
          <w:tcPr>
            <w:tcW w:w="682"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377BCC1E" w14:textId="77777777" w:rsidR="0073336A" w:rsidRPr="0073336A" w:rsidRDefault="0073336A" w:rsidP="0073336A">
            <w:pPr>
              <w:spacing w:line="240" w:lineRule="atLeast"/>
              <w:ind w:left="45"/>
              <w:jc w:val="center"/>
              <w:rPr>
                <w:rFonts w:ascii="Arial" w:hAnsi="Arial" w:cs="Arial"/>
              </w:rPr>
            </w:pPr>
            <w:r w:rsidRPr="0073336A">
              <w:rPr>
                <w:rFonts w:ascii="Arial" w:hAnsi="Arial" w:cs="Arial"/>
                <w:sz w:val="22"/>
                <w:szCs w:val="22"/>
              </w:rPr>
              <w:t>.011</w:t>
            </w:r>
          </w:p>
        </w:tc>
        <w:tc>
          <w:tcPr>
            <w:tcW w:w="820"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23527185" w14:textId="77777777" w:rsidR="0073336A" w:rsidRPr="0073336A" w:rsidRDefault="0073336A" w:rsidP="0073336A">
            <w:pPr>
              <w:spacing w:line="240" w:lineRule="atLeast"/>
              <w:ind w:left="45"/>
              <w:jc w:val="center"/>
              <w:rPr>
                <w:rFonts w:ascii="Arial" w:hAnsi="Arial" w:cs="Arial"/>
              </w:rPr>
            </w:pPr>
            <w:r w:rsidRPr="0073336A">
              <w:rPr>
                <w:rFonts w:ascii="Arial" w:hAnsi="Arial" w:cs="Arial"/>
                <w:sz w:val="22"/>
                <w:szCs w:val="22"/>
              </w:rPr>
              <w:t>-.075</w:t>
            </w:r>
          </w:p>
        </w:tc>
        <w:tc>
          <w:tcPr>
            <w:tcW w:w="825" w:type="dxa"/>
            <w:tcBorders>
              <w:top w:val="single" w:sz="6" w:space="0" w:color="CBCBCB"/>
              <w:left w:val="single" w:sz="6" w:space="0" w:color="000000"/>
              <w:bottom w:val="single" w:sz="6" w:space="0" w:color="CBCBCB"/>
              <w:right w:val="single" w:sz="6" w:space="0" w:color="000000"/>
            </w:tcBorders>
            <w:shd w:val="clear" w:color="auto" w:fill="FFFFFF"/>
            <w:tcMar>
              <w:top w:w="0" w:type="dxa"/>
              <w:left w:w="75" w:type="dxa"/>
              <w:bottom w:w="0" w:type="dxa"/>
              <w:right w:w="75" w:type="dxa"/>
            </w:tcMar>
            <w:vAlign w:val="center"/>
            <w:hideMark/>
          </w:tcPr>
          <w:p w14:paraId="2CD9ADE5" w14:textId="77777777" w:rsidR="0073336A" w:rsidRPr="0073336A" w:rsidRDefault="0073336A" w:rsidP="0073336A">
            <w:pPr>
              <w:spacing w:line="240" w:lineRule="atLeast"/>
              <w:ind w:left="45"/>
              <w:jc w:val="center"/>
              <w:rPr>
                <w:rFonts w:ascii="Arial" w:hAnsi="Arial" w:cs="Arial"/>
              </w:rPr>
            </w:pPr>
            <w:r w:rsidRPr="0073336A">
              <w:rPr>
                <w:rFonts w:ascii="Arial" w:hAnsi="Arial" w:cs="Arial"/>
                <w:sz w:val="22"/>
                <w:szCs w:val="22"/>
              </w:rPr>
              <w:t>1.00</w:t>
            </w:r>
          </w:p>
        </w:tc>
        <w:tc>
          <w:tcPr>
            <w:tcW w:w="799" w:type="dxa"/>
            <w:tcBorders>
              <w:top w:val="single" w:sz="6" w:space="0" w:color="CBCBCB"/>
              <w:left w:val="single" w:sz="6" w:space="0" w:color="000000"/>
              <w:bottom w:val="single" w:sz="6" w:space="0" w:color="CBCBCB"/>
              <w:right w:val="single" w:sz="12" w:space="0" w:color="000000"/>
            </w:tcBorders>
            <w:shd w:val="clear" w:color="auto" w:fill="FFFFFF"/>
            <w:tcMar>
              <w:top w:w="0" w:type="dxa"/>
              <w:left w:w="75" w:type="dxa"/>
              <w:bottom w:w="0" w:type="dxa"/>
              <w:right w:w="75" w:type="dxa"/>
            </w:tcMar>
            <w:vAlign w:val="center"/>
            <w:hideMark/>
          </w:tcPr>
          <w:p w14:paraId="35F0F4F9" w14:textId="77777777" w:rsidR="0073336A" w:rsidRPr="0073336A" w:rsidRDefault="0073336A" w:rsidP="0073336A">
            <w:pPr>
              <w:spacing w:line="240" w:lineRule="atLeast"/>
              <w:ind w:left="45"/>
              <w:jc w:val="center"/>
              <w:rPr>
                <w:rFonts w:ascii="Arial" w:hAnsi="Arial" w:cs="Arial"/>
              </w:rPr>
            </w:pPr>
          </w:p>
        </w:tc>
      </w:tr>
      <w:tr w:rsidR="000F7069" w:rsidRPr="0073336A" w14:paraId="657177F9" w14:textId="77777777" w:rsidTr="000F7069">
        <w:trPr>
          <w:jc w:val="center"/>
        </w:trPr>
        <w:tc>
          <w:tcPr>
            <w:tcW w:w="719" w:type="dxa"/>
            <w:tcBorders>
              <w:top w:val="single" w:sz="6" w:space="0" w:color="CBCBCB"/>
              <w:left w:val="single" w:sz="12" w:space="0" w:color="000000"/>
              <w:bottom w:val="single" w:sz="12" w:space="0" w:color="000000"/>
              <w:right w:val="single" w:sz="12" w:space="0" w:color="000000"/>
            </w:tcBorders>
            <w:shd w:val="clear" w:color="auto" w:fill="FFFFFF"/>
            <w:tcMar>
              <w:top w:w="0" w:type="dxa"/>
              <w:left w:w="75" w:type="dxa"/>
              <w:bottom w:w="0" w:type="dxa"/>
              <w:right w:w="75" w:type="dxa"/>
            </w:tcMar>
            <w:hideMark/>
          </w:tcPr>
          <w:p w14:paraId="34B97B22" w14:textId="77777777" w:rsidR="0073336A" w:rsidRPr="0073336A" w:rsidRDefault="0073336A" w:rsidP="0073336A">
            <w:pPr>
              <w:spacing w:line="240" w:lineRule="atLeast"/>
              <w:ind w:left="45"/>
              <w:jc w:val="center"/>
              <w:rPr>
                <w:rFonts w:ascii="Arial" w:hAnsi="Arial" w:cs="Arial"/>
                <w:b/>
              </w:rPr>
            </w:pPr>
            <w:r w:rsidRPr="0073336A">
              <w:rPr>
                <w:rFonts w:ascii="Arial" w:hAnsi="Arial" w:cs="Arial"/>
                <w:b/>
                <w:sz w:val="22"/>
                <w:szCs w:val="22"/>
              </w:rPr>
              <w:t>q11</w:t>
            </w:r>
          </w:p>
        </w:tc>
        <w:tc>
          <w:tcPr>
            <w:tcW w:w="789" w:type="dxa"/>
            <w:tcBorders>
              <w:top w:val="single" w:sz="6" w:space="0" w:color="CBCBCB"/>
              <w:left w:val="single" w:sz="12" w:space="0" w:color="000000"/>
              <w:bottom w:val="single" w:sz="12" w:space="0" w:color="000000"/>
              <w:right w:val="single" w:sz="6" w:space="0" w:color="000000"/>
            </w:tcBorders>
            <w:shd w:val="clear" w:color="auto" w:fill="FFFFFF"/>
            <w:tcMar>
              <w:top w:w="0" w:type="dxa"/>
              <w:left w:w="75" w:type="dxa"/>
              <w:bottom w:w="0" w:type="dxa"/>
              <w:right w:w="75" w:type="dxa"/>
            </w:tcMar>
            <w:vAlign w:val="center"/>
            <w:hideMark/>
          </w:tcPr>
          <w:p w14:paraId="4AB59700" w14:textId="77777777" w:rsidR="0073336A" w:rsidRPr="0073336A" w:rsidRDefault="0073336A" w:rsidP="0073336A">
            <w:pPr>
              <w:spacing w:line="240" w:lineRule="atLeast"/>
              <w:ind w:left="45"/>
              <w:jc w:val="center"/>
              <w:rPr>
                <w:rFonts w:ascii="Arial" w:hAnsi="Arial" w:cs="Arial"/>
              </w:rPr>
            </w:pPr>
            <w:r w:rsidRPr="0073336A">
              <w:rPr>
                <w:rFonts w:ascii="Arial" w:hAnsi="Arial" w:cs="Arial"/>
                <w:sz w:val="22"/>
                <w:szCs w:val="22"/>
              </w:rPr>
              <w:t>.621</w:t>
            </w:r>
          </w:p>
        </w:tc>
        <w:tc>
          <w:tcPr>
            <w:tcW w:w="720" w:type="dxa"/>
            <w:tcBorders>
              <w:top w:val="single" w:sz="6" w:space="0" w:color="CBCBCB"/>
              <w:left w:val="single" w:sz="6" w:space="0" w:color="000000"/>
              <w:bottom w:val="single" w:sz="12" w:space="0" w:color="000000"/>
              <w:right w:val="single" w:sz="6" w:space="0" w:color="000000"/>
            </w:tcBorders>
            <w:shd w:val="clear" w:color="auto" w:fill="FFFFFF"/>
            <w:tcMar>
              <w:top w:w="0" w:type="dxa"/>
              <w:left w:w="75" w:type="dxa"/>
              <w:bottom w:w="0" w:type="dxa"/>
              <w:right w:w="75" w:type="dxa"/>
            </w:tcMar>
            <w:vAlign w:val="center"/>
            <w:hideMark/>
          </w:tcPr>
          <w:p w14:paraId="336EB810" w14:textId="77777777" w:rsidR="0073336A" w:rsidRPr="0073336A" w:rsidRDefault="0073336A" w:rsidP="0073336A">
            <w:pPr>
              <w:spacing w:line="240" w:lineRule="atLeast"/>
              <w:ind w:left="45"/>
              <w:jc w:val="center"/>
              <w:rPr>
                <w:rFonts w:ascii="Arial" w:hAnsi="Arial" w:cs="Arial"/>
              </w:rPr>
            </w:pPr>
            <w:r w:rsidRPr="0073336A">
              <w:rPr>
                <w:rFonts w:ascii="Arial" w:hAnsi="Arial" w:cs="Arial"/>
                <w:sz w:val="22"/>
                <w:szCs w:val="22"/>
              </w:rPr>
              <w:t>.501</w:t>
            </w:r>
          </w:p>
        </w:tc>
        <w:tc>
          <w:tcPr>
            <w:tcW w:w="786" w:type="dxa"/>
            <w:tcBorders>
              <w:top w:val="single" w:sz="6" w:space="0" w:color="CBCBCB"/>
              <w:left w:val="single" w:sz="6" w:space="0" w:color="000000"/>
              <w:bottom w:val="single" w:sz="12" w:space="0" w:color="000000"/>
              <w:right w:val="single" w:sz="6" w:space="0" w:color="000000"/>
            </w:tcBorders>
            <w:shd w:val="clear" w:color="auto" w:fill="FFFFFF"/>
            <w:tcMar>
              <w:top w:w="0" w:type="dxa"/>
              <w:left w:w="75" w:type="dxa"/>
              <w:bottom w:w="0" w:type="dxa"/>
              <w:right w:w="75" w:type="dxa"/>
            </w:tcMar>
            <w:vAlign w:val="center"/>
            <w:hideMark/>
          </w:tcPr>
          <w:p w14:paraId="39980838" w14:textId="77777777" w:rsidR="0073336A" w:rsidRPr="0073336A" w:rsidRDefault="0073336A" w:rsidP="0073336A">
            <w:pPr>
              <w:spacing w:line="240" w:lineRule="atLeast"/>
              <w:ind w:left="45"/>
              <w:jc w:val="center"/>
              <w:rPr>
                <w:rFonts w:ascii="Arial" w:hAnsi="Arial" w:cs="Arial"/>
              </w:rPr>
            </w:pPr>
            <w:r w:rsidRPr="0073336A">
              <w:rPr>
                <w:rFonts w:ascii="Arial" w:hAnsi="Arial" w:cs="Arial"/>
                <w:sz w:val="22"/>
                <w:szCs w:val="22"/>
              </w:rPr>
              <w:t>.539</w:t>
            </w:r>
          </w:p>
        </w:tc>
        <w:tc>
          <w:tcPr>
            <w:tcW w:w="784" w:type="dxa"/>
            <w:tcBorders>
              <w:top w:val="single" w:sz="6" w:space="0" w:color="CBCBCB"/>
              <w:left w:val="single" w:sz="6" w:space="0" w:color="000000"/>
              <w:bottom w:val="single" w:sz="12" w:space="0" w:color="000000"/>
              <w:right w:val="single" w:sz="6" w:space="0" w:color="000000"/>
            </w:tcBorders>
            <w:shd w:val="clear" w:color="auto" w:fill="FFFFFF"/>
            <w:tcMar>
              <w:top w:w="0" w:type="dxa"/>
              <w:left w:w="75" w:type="dxa"/>
              <w:bottom w:w="0" w:type="dxa"/>
              <w:right w:w="75" w:type="dxa"/>
            </w:tcMar>
            <w:vAlign w:val="center"/>
            <w:hideMark/>
          </w:tcPr>
          <w:p w14:paraId="18800DFC" w14:textId="77777777" w:rsidR="0073336A" w:rsidRPr="0073336A" w:rsidRDefault="0073336A" w:rsidP="0073336A">
            <w:pPr>
              <w:spacing w:line="240" w:lineRule="atLeast"/>
              <w:ind w:left="45"/>
              <w:jc w:val="center"/>
              <w:rPr>
                <w:rFonts w:ascii="Arial" w:hAnsi="Arial" w:cs="Arial"/>
              </w:rPr>
            </w:pPr>
            <w:r w:rsidRPr="0073336A">
              <w:rPr>
                <w:rFonts w:ascii="Arial" w:hAnsi="Arial" w:cs="Arial"/>
                <w:sz w:val="22"/>
                <w:szCs w:val="22"/>
              </w:rPr>
              <w:t>.338</w:t>
            </w:r>
          </w:p>
        </w:tc>
        <w:tc>
          <w:tcPr>
            <w:tcW w:w="836" w:type="dxa"/>
            <w:tcBorders>
              <w:top w:val="single" w:sz="6" w:space="0" w:color="CBCBCB"/>
              <w:left w:val="single" w:sz="6" w:space="0" w:color="000000"/>
              <w:bottom w:val="single" w:sz="12" w:space="0" w:color="000000"/>
              <w:right w:val="single" w:sz="6" w:space="0" w:color="000000"/>
            </w:tcBorders>
            <w:shd w:val="clear" w:color="auto" w:fill="FFFFFF"/>
            <w:tcMar>
              <w:top w:w="0" w:type="dxa"/>
              <w:left w:w="75" w:type="dxa"/>
              <w:bottom w:w="0" w:type="dxa"/>
              <w:right w:w="75" w:type="dxa"/>
            </w:tcMar>
            <w:vAlign w:val="center"/>
            <w:hideMark/>
          </w:tcPr>
          <w:p w14:paraId="03A53486" w14:textId="77777777" w:rsidR="0073336A" w:rsidRPr="0073336A" w:rsidRDefault="0073336A" w:rsidP="0073336A">
            <w:pPr>
              <w:spacing w:line="240" w:lineRule="atLeast"/>
              <w:ind w:left="45"/>
              <w:jc w:val="center"/>
              <w:rPr>
                <w:rFonts w:ascii="Arial" w:hAnsi="Arial" w:cs="Arial"/>
              </w:rPr>
            </w:pPr>
            <w:r w:rsidRPr="0073336A">
              <w:rPr>
                <w:rFonts w:ascii="Arial" w:hAnsi="Arial" w:cs="Arial"/>
                <w:sz w:val="22"/>
                <w:szCs w:val="22"/>
              </w:rPr>
              <w:t>.459</w:t>
            </w:r>
          </w:p>
        </w:tc>
        <w:tc>
          <w:tcPr>
            <w:tcW w:w="739" w:type="dxa"/>
            <w:tcBorders>
              <w:top w:val="single" w:sz="6" w:space="0" w:color="CBCBCB"/>
              <w:left w:val="single" w:sz="6" w:space="0" w:color="000000"/>
              <w:bottom w:val="single" w:sz="12" w:space="0" w:color="000000"/>
              <w:right w:val="single" w:sz="6" w:space="0" w:color="000000"/>
            </w:tcBorders>
            <w:shd w:val="clear" w:color="auto" w:fill="FFFFFF"/>
            <w:tcMar>
              <w:top w:w="0" w:type="dxa"/>
              <w:left w:w="75" w:type="dxa"/>
              <w:bottom w:w="0" w:type="dxa"/>
              <w:right w:w="75" w:type="dxa"/>
            </w:tcMar>
            <w:vAlign w:val="center"/>
            <w:hideMark/>
          </w:tcPr>
          <w:p w14:paraId="73DCA017" w14:textId="77777777" w:rsidR="0073336A" w:rsidRPr="0073336A" w:rsidRDefault="0073336A" w:rsidP="0073336A">
            <w:pPr>
              <w:spacing w:line="240" w:lineRule="atLeast"/>
              <w:ind w:left="45"/>
              <w:jc w:val="center"/>
              <w:rPr>
                <w:rFonts w:ascii="Arial" w:hAnsi="Arial" w:cs="Arial"/>
              </w:rPr>
            </w:pPr>
            <w:r w:rsidRPr="0073336A">
              <w:rPr>
                <w:rFonts w:ascii="Arial" w:hAnsi="Arial" w:cs="Arial"/>
                <w:sz w:val="22"/>
                <w:szCs w:val="22"/>
              </w:rPr>
              <w:t>.367</w:t>
            </w:r>
          </w:p>
        </w:tc>
        <w:tc>
          <w:tcPr>
            <w:tcW w:w="782" w:type="dxa"/>
            <w:tcBorders>
              <w:top w:val="single" w:sz="6" w:space="0" w:color="CBCBCB"/>
              <w:left w:val="single" w:sz="6" w:space="0" w:color="000000"/>
              <w:bottom w:val="single" w:sz="12" w:space="0" w:color="000000"/>
              <w:right w:val="single" w:sz="6" w:space="0" w:color="000000"/>
            </w:tcBorders>
            <w:shd w:val="clear" w:color="auto" w:fill="FFFFFF"/>
            <w:tcMar>
              <w:top w:w="0" w:type="dxa"/>
              <w:left w:w="75" w:type="dxa"/>
              <w:bottom w:w="0" w:type="dxa"/>
              <w:right w:w="75" w:type="dxa"/>
            </w:tcMar>
            <w:vAlign w:val="center"/>
            <w:hideMark/>
          </w:tcPr>
          <w:p w14:paraId="71F68106" w14:textId="77777777" w:rsidR="0073336A" w:rsidRPr="0073336A" w:rsidRDefault="0073336A" w:rsidP="0073336A">
            <w:pPr>
              <w:spacing w:line="240" w:lineRule="atLeast"/>
              <w:ind w:left="45"/>
              <w:jc w:val="center"/>
              <w:rPr>
                <w:rFonts w:ascii="Arial" w:hAnsi="Arial" w:cs="Arial"/>
              </w:rPr>
            </w:pPr>
            <w:r w:rsidRPr="0073336A">
              <w:rPr>
                <w:rFonts w:ascii="Arial" w:hAnsi="Arial" w:cs="Arial"/>
                <w:sz w:val="22"/>
                <w:szCs w:val="22"/>
              </w:rPr>
              <w:t>.436</w:t>
            </w:r>
          </w:p>
        </w:tc>
        <w:tc>
          <w:tcPr>
            <w:tcW w:w="689" w:type="dxa"/>
            <w:tcBorders>
              <w:top w:val="single" w:sz="6" w:space="0" w:color="CBCBCB"/>
              <w:left w:val="single" w:sz="6" w:space="0" w:color="000000"/>
              <w:bottom w:val="single" w:sz="12" w:space="0" w:color="000000"/>
              <w:right w:val="single" w:sz="6" w:space="0" w:color="000000"/>
            </w:tcBorders>
            <w:shd w:val="clear" w:color="auto" w:fill="FFFFFF"/>
            <w:tcMar>
              <w:top w:w="0" w:type="dxa"/>
              <w:left w:w="75" w:type="dxa"/>
              <w:bottom w:w="0" w:type="dxa"/>
              <w:right w:w="75" w:type="dxa"/>
            </w:tcMar>
            <w:vAlign w:val="center"/>
            <w:hideMark/>
          </w:tcPr>
          <w:p w14:paraId="18C0A7F6" w14:textId="77777777" w:rsidR="0073336A" w:rsidRPr="0073336A" w:rsidRDefault="0073336A" w:rsidP="0073336A">
            <w:pPr>
              <w:spacing w:line="240" w:lineRule="atLeast"/>
              <w:ind w:left="45"/>
              <w:jc w:val="center"/>
              <w:rPr>
                <w:rFonts w:ascii="Arial" w:hAnsi="Arial" w:cs="Arial"/>
              </w:rPr>
            </w:pPr>
            <w:r w:rsidRPr="0073336A">
              <w:rPr>
                <w:rFonts w:ascii="Arial" w:hAnsi="Arial" w:cs="Arial"/>
                <w:sz w:val="22"/>
                <w:szCs w:val="22"/>
              </w:rPr>
              <w:t>.540</w:t>
            </w:r>
          </w:p>
        </w:tc>
        <w:tc>
          <w:tcPr>
            <w:tcW w:w="835" w:type="dxa"/>
            <w:tcBorders>
              <w:top w:val="single" w:sz="6" w:space="0" w:color="CBCBCB"/>
              <w:left w:val="single" w:sz="6" w:space="0" w:color="000000"/>
              <w:bottom w:val="single" w:sz="12" w:space="0" w:color="000000"/>
              <w:right w:val="single" w:sz="6" w:space="0" w:color="000000"/>
            </w:tcBorders>
            <w:shd w:val="clear" w:color="auto" w:fill="FFFFFF"/>
            <w:tcMar>
              <w:top w:w="0" w:type="dxa"/>
              <w:left w:w="75" w:type="dxa"/>
              <w:bottom w:w="0" w:type="dxa"/>
              <w:right w:w="75" w:type="dxa"/>
            </w:tcMar>
            <w:vAlign w:val="center"/>
            <w:hideMark/>
          </w:tcPr>
          <w:p w14:paraId="31F847AF" w14:textId="77777777" w:rsidR="0073336A" w:rsidRPr="0073336A" w:rsidRDefault="0073336A" w:rsidP="0073336A">
            <w:pPr>
              <w:spacing w:line="240" w:lineRule="atLeast"/>
              <w:ind w:left="45"/>
              <w:jc w:val="center"/>
              <w:rPr>
                <w:rFonts w:ascii="Arial" w:hAnsi="Arial" w:cs="Arial"/>
              </w:rPr>
            </w:pPr>
            <w:r w:rsidRPr="0073336A">
              <w:rPr>
                <w:rFonts w:ascii="Arial" w:hAnsi="Arial" w:cs="Arial"/>
                <w:sz w:val="22"/>
                <w:szCs w:val="22"/>
              </w:rPr>
              <w:t>.549</w:t>
            </w:r>
          </w:p>
        </w:tc>
        <w:tc>
          <w:tcPr>
            <w:tcW w:w="685" w:type="dxa"/>
            <w:tcBorders>
              <w:top w:val="single" w:sz="6" w:space="0" w:color="CBCBCB"/>
              <w:left w:val="single" w:sz="6" w:space="0" w:color="000000"/>
              <w:bottom w:val="single" w:sz="12" w:space="0" w:color="000000"/>
              <w:right w:val="single" w:sz="6" w:space="0" w:color="000000"/>
            </w:tcBorders>
            <w:shd w:val="clear" w:color="auto" w:fill="FFFFFF"/>
            <w:tcMar>
              <w:top w:w="0" w:type="dxa"/>
              <w:left w:w="75" w:type="dxa"/>
              <w:bottom w:w="0" w:type="dxa"/>
              <w:right w:w="75" w:type="dxa"/>
            </w:tcMar>
            <w:vAlign w:val="center"/>
            <w:hideMark/>
          </w:tcPr>
          <w:p w14:paraId="1CE2CAB6" w14:textId="77777777" w:rsidR="0073336A" w:rsidRPr="0073336A" w:rsidRDefault="0073336A" w:rsidP="0073336A">
            <w:pPr>
              <w:spacing w:line="240" w:lineRule="atLeast"/>
              <w:ind w:left="45"/>
              <w:jc w:val="center"/>
              <w:rPr>
                <w:rFonts w:ascii="Arial" w:hAnsi="Arial" w:cs="Arial"/>
              </w:rPr>
            </w:pPr>
            <w:r w:rsidRPr="0073336A">
              <w:rPr>
                <w:rFonts w:ascii="Arial" w:hAnsi="Arial" w:cs="Arial"/>
                <w:sz w:val="22"/>
                <w:szCs w:val="22"/>
              </w:rPr>
              <w:t>.476</w:t>
            </w:r>
          </w:p>
        </w:tc>
        <w:tc>
          <w:tcPr>
            <w:tcW w:w="690" w:type="dxa"/>
            <w:tcBorders>
              <w:top w:val="single" w:sz="6" w:space="0" w:color="CBCBCB"/>
              <w:left w:val="single" w:sz="6" w:space="0" w:color="000000"/>
              <w:bottom w:val="single" w:sz="12" w:space="0" w:color="000000"/>
              <w:right w:val="single" w:sz="6" w:space="0" w:color="000000"/>
            </w:tcBorders>
            <w:shd w:val="clear" w:color="auto" w:fill="FFFFFF"/>
            <w:tcMar>
              <w:top w:w="0" w:type="dxa"/>
              <w:left w:w="75" w:type="dxa"/>
              <w:bottom w:w="0" w:type="dxa"/>
              <w:right w:w="75" w:type="dxa"/>
            </w:tcMar>
            <w:vAlign w:val="center"/>
            <w:hideMark/>
          </w:tcPr>
          <w:p w14:paraId="43875C31" w14:textId="77777777" w:rsidR="0073336A" w:rsidRPr="0073336A" w:rsidRDefault="0073336A" w:rsidP="0073336A">
            <w:pPr>
              <w:spacing w:line="240" w:lineRule="atLeast"/>
              <w:ind w:left="45"/>
              <w:jc w:val="center"/>
              <w:rPr>
                <w:rFonts w:ascii="Arial" w:hAnsi="Arial" w:cs="Arial"/>
              </w:rPr>
            </w:pPr>
            <w:r w:rsidRPr="0073336A">
              <w:rPr>
                <w:rFonts w:ascii="Arial" w:hAnsi="Arial" w:cs="Arial"/>
                <w:sz w:val="22"/>
                <w:szCs w:val="22"/>
              </w:rPr>
              <w:t>.447</w:t>
            </w:r>
          </w:p>
        </w:tc>
        <w:tc>
          <w:tcPr>
            <w:tcW w:w="682" w:type="dxa"/>
            <w:tcBorders>
              <w:top w:val="single" w:sz="6" w:space="0" w:color="CBCBCB"/>
              <w:left w:val="single" w:sz="6" w:space="0" w:color="000000"/>
              <w:bottom w:val="single" w:sz="12" w:space="0" w:color="000000"/>
              <w:right w:val="single" w:sz="6" w:space="0" w:color="000000"/>
            </w:tcBorders>
            <w:shd w:val="clear" w:color="auto" w:fill="FFFFFF"/>
            <w:tcMar>
              <w:top w:w="0" w:type="dxa"/>
              <w:left w:w="75" w:type="dxa"/>
              <w:bottom w:w="0" w:type="dxa"/>
              <w:right w:w="75" w:type="dxa"/>
            </w:tcMar>
            <w:vAlign w:val="center"/>
            <w:hideMark/>
          </w:tcPr>
          <w:p w14:paraId="3AE8A6DB" w14:textId="77777777" w:rsidR="0073336A" w:rsidRPr="0073336A" w:rsidRDefault="0073336A" w:rsidP="0073336A">
            <w:pPr>
              <w:spacing w:line="240" w:lineRule="atLeast"/>
              <w:ind w:left="45"/>
              <w:jc w:val="center"/>
              <w:rPr>
                <w:rFonts w:ascii="Arial" w:hAnsi="Arial" w:cs="Arial"/>
              </w:rPr>
            </w:pPr>
            <w:r w:rsidRPr="0073336A">
              <w:rPr>
                <w:rFonts w:ascii="Arial" w:hAnsi="Arial" w:cs="Arial"/>
                <w:sz w:val="22"/>
                <w:szCs w:val="22"/>
              </w:rPr>
              <w:t>.323</w:t>
            </w:r>
          </w:p>
        </w:tc>
        <w:tc>
          <w:tcPr>
            <w:tcW w:w="820" w:type="dxa"/>
            <w:tcBorders>
              <w:top w:val="single" w:sz="6" w:space="0" w:color="CBCBCB"/>
              <w:left w:val="single" w:sz="6" w:space="0" w:color="000000"/>
              <w:bottom w:val="single" w:sz="12" w:space="0" w:color="000000"/>
              <w:right w:val="single" w:sz="6" w:space="0" w:color="000000"/>
            </w:tcBorders>
            <w:shd w:val="clear" w:color="auto" w:fill="FFFFFF"/>
            <w:tcMar>
              <w:top w:w="0" w:type="dxa"/>
              <w:left w:w="75" w:type="dxa"/>
              <w:bottom w:w="0" w:type="dxa"/>
              <w:right w:w="75" w:type="dxa"/>
            </w:tcMar>
            <w:vAlign w:val="center"/>
            <w:hideMark/>
          </w:tcPr>
          <w:p w14:paraId="0A55FE59" w14:textId="77777777" w:rsidR="0073336A" w:rsidRPr="0073336A" w:rsidRDefault="0073336A" w:rsidP="0073336A">
            <w:pPr>
              <w:spacing w:line="240" w:lineRule="atLeast"/>
              <w:ind w:left="45"/>
              <w:jc w:val="center"/>
              <w:rPr>
                <w:rFonts w:ascii="Arial" w:hAnsi="Arial" w:cs="Arial"/>
              </w:rPr>
            </w:pPr>
            <w:r w:rsidRPr="0073336A">
              <w:rPr>
                <w:rFonts w:ascii="Arial" w:hAnsi="Arial" w:cs="Arial"/>
                <w:sz w:val="22"/>
                <w:szCs w:val="22"/>
              </w:rPr>
              <w:t>.133</w:t>
            </w:r>
          </w:p>
        </w:tc>
        <w:tc>
          <w:tcPr>
            <w:tcW w:w="825" w:type="dxa"/>
            <w:tcBorders>
              <w:top w:val="single" w:sz="6" w:space="0" w:color="CBCBCB"/>
              <w:left w:val="single" w:sz="6" w:space="0" w:color="000000"/>
              <w:bottom w:val="single" w:sz="12" w:space="0" w:color="000000"/>
              <w:right w:val="single" w:sz="6" w:space="0" w:color="000000"/>
            </w:tcBorders>
            <w:shd w:val="clear" w:color="auto" w:fill="FFFFFF"/>
            <w:tcMar>
              <w:top w:w="0" w:type="dxa"/>
              <w:left w:w="75" w:type="dxa"/>
              <w:bottom w:w="0" w:type="dxa"/>
              <w:right w:w="75" w:type="dxa"/>
            </w:tcMar>
            <w:vAlign w:val="center"/>
            <w:hideMark/>
          </w:tcPr>
          <w:p w14:paraId="200B4731" w14:textId="77777777" w:rsidR="0073336A" w:rsidRPr="0073336A" w:rsidRDefault="0073336A" w:rsidP="0073336A">
            <w:pPr>
              <w:spacing w:line="240" w:lineRule="atLeast"/>
              <w:ind w:left="45"/>
              <w:jc w:val="center"/>
              <w:rPr>
                <w:rFonts w:ascii="Arial" w:hAnsi="Arial" w:cs="Arial"/>
              </w:rPr>
            </w:pPr>
            <w:r w:rsidRPr="0073336A">
              <w:rPr>
                <w:rFonts w:ascii="Arial" w:hAnsi="Arial" w:cs="Arial"/>
                <w:sz w:val="22"/>
                <w:szCs w:val="22"/>
              </w:rPr>
              <w:t>-.010</w:t>
            </w:r>
          </w:p>
        </w:tc>
        <w:tc>
          <w:tcPr>
            <w:tcW w:w="799" w:type="dxa"/>
            <w:tcBorders>
              <w:top w:val="single" w:sz="6" w:space="0" w:color="CBCBCB"/>
              <w:left w:val="single" w:sz="6" w:space="0" w:color="000000"/>
              <w:bottom w:val="single" w:sz="12" w:space="0" w:color="000000"/>
              <w:right w:val="single" w:sz="12" w:space="0" w:color="000000"/>
            </w:tcBorders>
            <w:shd w:val="clear" w:color="auto" w:fill="FFFFFF"/>
            <w:tcMar>
              <w:top w:w="0" w:type="dxa"/>
              <w:left w:w="75" w:type="dxa"/>
              <w:bottom w:w="0" w:type="dxa"/>
              <w:right w:w="75" w:type="dxa"/>
            </w:tcMar>
            <w:vAlign w:val="center"/>
            <w:hideMark/>
          </w:tcPr>
          <w:p w14:paraId="6BB6F8BE" w14:textId="77777777" w:rsidR="0073336A" w:rsidRPr="0073336A" w:rsidRDefault="0073336A" w:rsidP="0073336A">
            <w:pPr>
              <w:spacing w:line="240" w:lineRule="atLeast"/>
              <w:ind w:left="45"/>
              <w:jc w:val="center"/>
              <w:rPr>
                <w:rFonts w:ascii="Arial" w:hAnsi="Arial" w:cs="Arial"/>
              </w:rPr>
            </w:pPr>
            <w:r w:rsidRPr="0073336A">
              <w:rPr>
                <w:rFonts w:ascii="Arial" w:hAnsi="Arial" w:cs="Arial"/>
                <w:sz w:val="22"/>
                <w:szCs w:val="22"/>
              </w:rPr>
              <w:t>1.00</w:t>
            </w:r>
          </w:p>
        </w:tc>
      </w:tr>
    </w:tbl>
    <w:p w14:paraId="4D147B79" w14:textId="77777777" w:rsidR="0073336A" w:rsidRDefault="0073336A" w:rsidP="0073336A">
      <w:pPr>
        <w:spacing w:after="120" w:line="360" w:lineRule="auto"/>
        <w:jc w:val="center"/>
      </w:pPr>
    </w:p>
    <w:p w14:paraId="25D1C001" w14:textId="77777777" w:rsidR="00C71E0B" w:rsidRDefault="00C71E0B" w:rsidP="0073336A">
      <w:pPr>
        <w:spacing w:after="120" w:line="360" w:lineRule="auto"/>
        <w:jc w:val="center"/>
      </w:pPr>
    </w:p>
    <w:p w14:paraId="7ABFA12E" w14:textId="77777777" w:rsidR="008A6984" w:rsidRDefault="008A6984">
      <w:pPr>
        <w:spacing w:after="120" w:line="360" w:lineRule="auto"/>
        <w:jc w:val="both"/>
      </w:pPr>
    </w:p>
    <w:p w14:paraId="2497521B" w14:textId="77777777" w:rsidR="008A6984" w:rsidRDefault="008A6984">
      <w:pPr>
        <w:spacing w:after="120" w:line="360" w:lineRule="auto"/>
        <w:jc w:val="both"/>
      </w:pPr>
    </w:p>
    <w:p w14:paraId="5C359AF7" w14:textId="77777777" w:rsidR="0073336A" w:rsidRDefault="0073336A">
      <w:pPr>
        <w:spacing w:after="120" w:line="360" w:lineRule="auto"/>
        <w:jc w:val="both"/>
        <w:sectPr w:rsidR="0073336A" w:rsidSect="0073336A">
          <w:type w:val="evenPage"/>
          <w:pgSz w:w="16838" w:h="11906" w:orient="landscape"/>
          <w:pgMar w:top="1797" w:right="1440" w:bottom="1440" w:left="1440" w:header="0" w:footer="0" w:gutter="0"/>
          <w:cols w:space="708"/>
          <w:formProt w:val="0"/>
          <w:docGrid w:linePitch="360" w:charSpace="-2049"/>
        </w:sectPr>
      </w:pPr>
    </w:p>
    <w:p w14:paraId="0F86E8AC" w14:textId="77777777" w:rsidR="000F7069" w:rsidRPr="00203AC0" w:rsidRDefault="000F7069" w:rsidP="00203AC0">
      <w:pPr>
        <w:pStyle w:val="1"/>
        <w:spacing w:before="0" w:after="120" w:line="360" w:lineRule="auto"/>
        <w:rPr>
          <w:rFonts w:cs="Times New Roman"/>
          <w:b w:val="0"/>
        </w:rPr>
      </w:pPr>
      <w:bookmarkStart w:id="61" w:name="_Toc493323997"/>
      <w:proofErr w:type="spellStart"/>
      <w:r w:rsidRPr="00203AC0">
        <w:rPr>
          <w:rFonts w:cs="Times New Roman"/>
        </w:rPr>
        <w:lastRenderedPageBreak/>
        <w:t>Κεφάλ</w:t>
      </w:r>
      <w:proofErr w:type="spellEnd"/>
      <w:r w:rsidRPr="00203AC0">
        <w:rPr>
          <w:rFonts w:cs="Times New Roman"/>
        </w:rPr>
        <w:t>αιο 4</w:t>
      </w:r>
      <w:r w:rsidR="00203AC0" w:rsidRPr="00203AC0">
        <w:rPr>
          <w:rFonts w:cs="Times New Roman"/>
        </w:rPr>
        <w:t>:</w:t>
      </w:r>
      <w:r w:rsidR="00203AC0">
        <w:rPr>
          <w:rFonts w:cs="Times New Roman"/>
          <w:lang w:val="el-GR"/>
        </w:rPr>
        <w:t xml:space="preserve"> </w:t>
      </w:r>
      <w:proofErr w:type="spellStart"/>
      <w:r w:rsidRPr="00203AC0">
        <w:rPr>
          <w:rFonts w:cs="Times New Roman"/>
        </w:rPr>
        <w:t>Συμ</w:t>
      </w:r>
      <w:proofErr w:type="spellEnd"/>
      <w:r w:rsidRPr="00203AC0">
        <w:rPr>
          <w:rFonts w:cs="Times New Roman"/>
        </w:rPr>
        <w:t xml:space="preserve">περάσματα – </w:t>
      </w:r>
      <w:proofErr w:type="spellStart"/>
      <w:r w:rsidRPr="00203AC0">
        <w:rPr>
          <w:rFonts w:cs="Times New Roman"/>
        </w:rPr>
        <w:t>Συζήτηση</w:t>
      </w:r>
      <w:bookmarkEnd w:id="61"/>
      <w:proofErr w:type="spellEnd"/>
      <w:r w:rsidRPr="00203AC0">
        <w:rPr>
          <w:rFonts w:cs="Times New Roman"/>
        </w:rPr>
        <w:t xml:space="preserve"> </w:t>
      </w:r>
    </w:p>
    <w:p w14:paraId="4598DA63" w14:textId="77777777" w:rsidR="000F7069" w:rsidRPr="00DE400E" w:rsidRDefault="000F7069" w:rsidP="00DE400E">
      <w:pPr>
        <w:pStyle w:val="2"/>
        <w:spacing w:before="0" w:line="360" w:lineRule="auto"/>
        <w:rPr>
          <w:b/>
          <w:sz w:val="28"/>
        </w:rPr>
      </w:pPr>
      <w:bookmarkStart w:id="62" w:name="_Toc493323998"/>
      <w:r w:rsidRPr="00DE400E">
        <w:rPr>
          <w:b/>
          <w:sz w:val="28"/>
        </w:rPr>
        <w:t>4.1. Τα Συμπεράσματα</w:t>
      </w:r>
      <w:bookmarkEnd w:id="62"/>
    </w:p>
    <w:p w14:paraId="13FEE1E2" w14:textId="77777777" w:rsidR="000F7069" w:rsidRDefault="000F7069" w:rsidP="00203AC0">
      <w:pPr>
        <w:spacing w:after="120" w:line="360" w:lineRule="auto"/>
        <w:jc w:val="both"/>
      </w:pPr>
      <w:r w:rsidRPr="000F7069">
        <w:rPr>
          <w:lang w:val="el-GR"/>
        </w:rPr>
        <w:t xml:space="preserve">Σε αυτό το </w:t>
      </w:r>
      <w:proofErr w:type="spellStart"/>
      <w:r w:rsidRPr="000F7069">
        <w:rPr>
          <w:lang w:val="el-GR"/>
        </w:rPr>
        <w:t>υποκεφάλαιο</w:t>
      </w:r>
      <w:proofErr w:type="spellEnd"/>
      <w:r w:rsidRPr="000F7069">
        <w:rPr>
          <w:lang w:val="el-GR"/>
        </w:rPr>
        <w:t xml:space="preserve"> συνοψίζονται τα αποτελέσματα της έρευνας της πτυχιακής για την εφαρμογή του ερωτηματολογίου σε τυπικό πληθυσμό και των περαιτέρω αναλύσεων οι οποίες έγιναν. </w:t>
      </w:r>
      <w:proofErr w:type="spellStart"/>
      <w:r w:rsidRPr="00994C0C">
        <w:t>Συγκεκριμέν</w:t>
      </w:r>
      <w:proofErr w:type="spellEnd"/>
      <w:r w:rsidRPr="00994C0C">
        <w:t xml:space="preserve">α: </w:t>
      </w:r>
    </w:p>
    <w:p w14:paraId="342C4D61" w14:textId="77777777" w:rsidR="00FB35F9" w:rsidRPr="00994C0C" w:rsidRDefault="00FB35F9" w:rsidP="00203AC0">
      <w:pPr>
        <w:spacing w:after="120" w:line="360" w:lineRule="auto"/>
        <w:jc w:val="both"/>
      </w:pPr>
    </w:p>
    <w:p w14:paraId="22A15782" w14:textId="77777777" w:rsidR="00FB35F9" w:rsidRPr="00C20FCA" w:rsidRDefault="00FB35F9" w:rsidP="00633A60">
      <w:pPr>
        <w:numPr>
          <w:ilvl w:val="0"/>
          <w:numId w:val="19"/>
        </w:numPr>
        <w:spacing w:after="200" w:line="360" w:lineRule="auto"/>
        <w:jc w:val="both"/>
        <w:rPr>
          <w:lang w:val="el-GR"/>
        </w:rPr>
      </w:pPr>
      <w:r w:rsidRPr="00C20FCA">
        <w:rPr>
          <w:lang w:val="el-GR"/>
        </w:rPr>
        <w:t>Οι άντρες σε σχέση με τις γυναίκες έχουν πιο χαμηλό μέσο όρο απαντήσεων γι</w:t>
      </w:r>
      <w:r>
        <w:rPr>
          <w:lang w:val="el-GR"/>
        </w:rPr>
        <w:t>α το συνολικό σκορ της κλίμακας</w:t>
      </w:r>
      <w:r w:rsidRPr="00C20FCA">
        <w:rPr>
          <w:lang w:val="el-GR"/>
        </w:rPr>
        <w:t>.</w:t>
      </w:r>
    </w:p>
    <w:p w14:paraId="22A6E4D4" w14:textId="77777777" w:rsidR="00FB35F9" w:rsidRPr="00C20FCA" w:rsidRDefault="00FB35F9" w:rsidP="00633A60">
      <w:pPr>
        <w:numPr>
          <w:ilvl w:val="0"/>
          <w:numId w:val="19"/>
        </w:numPr>
        <w:spacing w:after="200" w:line="360" w:lineRule="auto"/>
        <w:jc w:val="both"/>
        <w:rPr>
          <w:lang w:val="el-GR"/>
        </w:rPr>
      </w:pPr>
      <w:r w:rsidRPr="00C20FCA">
        <w:rPr>
          <w:lang w:val="el-GR"/>
        </w:rPr>
        <w:t xml:space="preserve">Οι άντρες σε σχέση με τις γυναίκες έχουν πιο χαμηλό μέσο όρο απαντήσεων </w:t>
      </w:r>
      <w:r>
        <w:rPr>
          <w:lang w:val="el-GR"/>
        </w:rPr>
        <w:t>σχεδόν σε όλες τις ερωτήσεις της κλίμακας</w:t>
      </w:r>
      <w:r w:rsidRPr="00C20FCA">
        <w:rPr>
          <w:lang w:val="el-GR"/>
        </w:rPr>
        <w:t>.</w:t>
      </w:r>
    </w:p>
    <w:p w14:paraId="77A5613E" w14:textId="77777777" w:rsidR="00FB35F9" w:rsidRPr="00C20FCA" w:rsidRDefault="00FB35F9" w:rsidP="00633A60">
      <w:pPr>
        <w:numPr>
          <w:ilvl w:val="0"/>
          <w:numId w:val="19"/>
        </w:numPr>
        <w:spacing w:after="200" w:line="360" w:lineRule="auto"/>
        <w:jc w:val="both"/>
        <w:rPr>
          <w:lang w:val="el-GR"/>
        </w:rPr>
      </w:pPr>
      <w:r>
        <w:rPr>
          <w:lang w:val="el-GR"/>
        </w:rPr>
        <w:t>Υ</w:t>
      </w:r>
      <w:r w:rsidRPr="00C20FCA">
        <w:rPr>
          <w:lang w:val="el-GR"/>
        </w:rPr>
        <w:t>πήρχε στατιστικά σημαντική διαφορά των μέσων όρων των απαντήσεων μεταξύ των ηλικιακών υποομάδων για το συνολικό σκορ του ερωτηματολογίου.</w:t>
      </w:r>
    </w:p>
    <w:p w14:paraId="1E908BA0" w14:textId="77777777" w:rsidR="00FB35F9" w:rsidRDefault="00FB35F9" w:rsidP="00633A60">
      <w:pPr>
        <w:numPr>
          <w:ilvl w:val="0"/>
          <w:numId w:val="19"/>
        </w:numPr>
        <w:spacing w:after="200" w:line="360" w:lineRule="auto"/>
        <w:jc w:val="both"/>
        <w:rPr>
          <w:lang w:val="el-GR"/>
        </w:rPr>
      </w:pPr>
      <w:r>
        <w:rPr>
          <w:lang w:val="el-GR"/>
        </w:rPr>
        <w:t>Δεν υ</w:t>
      </w:r>
      <w:r w:rsidRPr="00C20FCA">
        <w:rPr>
          <w:lang w:val="el-GR"/>
        </w:rPr>
        <w:t xml:space="preserve">πήρχε στατιστικά σημαντική διαφορά των μέσων όρων των απαντήσεων μεταξύ των </w:t>
      </w:r>
      <w:r>
        <w:rPr>
          <w:lang w:val="el-GR"/>
        </w:rPr>
        <w:t>αντρών και γυναικών</w:t>
      </w:r>
      <w:r w:rsidRPr="00C20FCA">
        <w:rPr>
          <w:lang w:val="el-GR"/>
        </w:rPr>
        <w:t xml:space="preserve"> </w:t>
      </w:r>
      <w:r>
        <w:rPr>
          <w:lang w:val="el-GR"/>
        </w:rPr>
        <w:t>για όλες τις ερωτήσεις της κλίμακας</w:t>
      </w:r>
      <w:r w:rsidRPr="00C20FCA">
        <w:rPr>
          <w:lang w:val="el-GR"/>
        </w:rPr>
        <w:t>.</w:t>
      </w:r>
    </w:p>
    <w:p w14:paraId="2A493598" w14:textId="77777777" w:rsidR="00FB35F9" w:rsidRPr="00A84BB7" w:rsidRDefault="00FB35F9" w:rsidP="00633A60">
      <w:pPr>
        <w:numPr>
          <w:ilvl w:val="0"/>
          <w:numId w:val="19"/>
        </w:numPr>
        <w:spacing w:after="200" w:line="360" w:lineRule="auto"/>
        <w:jc w:val="both"/>
        <w:rPr>
          <w:lang w:val="el-GR"/>
        </w:rPr>
      </w:pPr>
      <w:r>
        <w:rPr>
          <w:lang w:val="el-GR"/>
        </w:rPr>
        <w:lastRenderedPageBreak/>
        <w:t>Υ</w:t>
      </w:r>
      <w:r w:rsidRPr="00C20FCA">
        <w:rPr>
          <w:lang w:val="el-GR"/>
        </w:rPr>
        <w:t xml:space="preserve">πήρχε στατιστικά σημαντική διαφορά των μέσων όρων των απαντήσεων μεταξύ των ηλικιακών υποομάδων </w:t>
      </w:r>
      <w:r>
        <w:rPr>
          <w:lang w:val="el-GR"/>
        </w:rPr>
        <w:t xml:space="preserve">για τις ερωτήσεις 1, 2, 2b, </w:t>
      </w:r>
      <w:r w:rsidRPr="00FB35F9">
        <w:rPr>
          <w:lang w:val="el-GR"/>
        </w:rPr>
        <w:t>5, 6</w:t>
      </w:r>
      <w:r>
        <w:rPr>
          <w:lang w:val="el-GR"/>
        </w:rPr>
        <w:t xml:space="preserve"> και 11</w:t>
      </w:r>
      <w:r w:rsidRPr="00C20FCA">
        <w:rPr>
          <w:lang w:val="el-GR"/>
        </w:rPr>
        <w:t>.</w:t>
      </w:r>
    </w:p>
    <w:p w14:paraId="5599D219" w14:textId="77777777" w:rsidR="00C71E0B" w:rsidRDefault="00FB35F9" w:rsidP="00633A60">
      <w:pPr>
        <w:numPr>
          <w:ilvl w:val="0"/>
          <w:numId w:val="19"/>
        </w:numPr>
        <w:spacing w:after="200" w:line="360" w:lineRule="auto"/>
        <w:jc w:val="both"/>
        <w:rPr>
          <w:lang w:val="el-GR"/>
        </w:rPr>
      </w:pPr>
      <w:r w:rsidRPr="00C20FCA">
        <w:rPr>
          <w:lang w:val="el-GR"/>
        </w:rPr>
        <w:t>Το ερωτηματολόγιο είχε ικανοποιητικά υψηλά αποδεκτό δείκτη εγκυρότητας και αξιοπιστίας στην ελληνική μεταφρασμένη του έκδοση, στο σύνολό της.</w:t>
      </w:r>
    </w:p>
    <w:p w14:paraId="091DE6AC" w14:textId="77777777" w:rsidR="001B260D" w:rsidRPr="000F6BBD" w:rsidRDefault="001B260D" w:rsidP="004D4CDA">
      <w:pPr>
        <w:spacing w:after="200" w:line="360" w:lineRule="auto"/>
        <w:ind w:left="360"/>
        <w:jc w:val="both"/>
        <w:rPr>
          <w:b/>
          <w:sz w:val="28"/>
          <w:szCs w:val="28"/>
          <w:lang w:val="el-GR"/>
        </w:rPr>
      </w:pPr>
    </w:p>
    <w:p w14:paraId="5B2702F0" w14:textId="77777777" w:rsidR="00472058" w:rsidRPr="00DE400E" w:rsidRDefault="001B260D" w:rsidP="00DE400E">
      <w:pPr>
        <w:pStyle w:val="2"/>
        <w:spacing w:before="0" w:line="360" w:lineRule="auto"/>
        <w:rPr>
          <w:b/>
          <w:sz w:val="28"/>
        </w:rPr>
      </w:pPr>
      <w:bookmarkStart w:id="63" w:name="_Toc493323999"/>
      <w:r w:rsidRPr="00DE400E">
        <w:rPr>
          <w:b/>
          <w:sz w:val="28"/>
        </w:rPr>
        <w:t xml:space="preserve">4.2 </w:t>
      </w:r>
      <w:r w:rsidR="00681DEB" w:rsidRPr="00DE400E">
        <w:rPr>
          <w:b/>
          <w:sz w:val="28"/>
        </w:rPr>
        <w:t>Συζήτηση</w:t>
      </w:r>
      <w:bookmarkEnd w:id="63"/>
    </w:p>
    <w:p w14:paraId="02A8A2B5" w14:textId="77777777" w:rsidR="00CC4CE4" w:rsidRPr="00CC4CE4" w:rsidRDefault="00CC4CE4" w:rsidP="00203AC0">
      <w:pPr>
        <w:spacing w:after="120" w:line="360" w:lineRule="auto"/>
        <w:ind w:left="357"/>
        <w:jc w:val="both"/>
        <w:rPr>
          <w:lang w:val="el-GR"/>
        </w:rPr>
      </w:pPr>
      <w:r w:rsidRPr="00CC4CE4">
        <w:rPr>
          <w:lang w:val="el-GR"/>
        </w:rPr>
        <w:t>Υπάρχουν διάφοροι τρόποι διάγνωσης των διαταραχών κατάποσης (</w:t>
      </w:r>
      <w:r w:rsidRPr="0092736E">
        <w:rPr>
          <w:color w:val="222222"/>
          <w:shd w:val="clear" w:color="auto" w:fill="FFFFFF"/>
        </w:rPr>
        <w:t>Castell</w:t>
      </w:r>
      <w:r w:rsidRPr="00CC4CE4">
        <w:rPr>
          <w:color w:val="222222"/>
          <w:shd w:val="clear" w:color="auto" w:fill="FFFFFF"/>
          <w:lang w:val="el-GR"/>
        </w:rPr>
        <w:t xml:space="preserve"> &amp; </w:t>
      </w:r>
      <w:r w:rsidRPr="0092736E">
        <w:rPr>
          <w:color w:val="222222"/>
          <w:shd w:val="clear" w:color="auto" w:fill="FFFFFF"/>
        </w:rPr>
        <w:t>Donner</w:t>
      </w:r>
      <w:r w:rsidRPr="00CC4CE4">
        <w:rPr>
          <w:color w:val="222222"/>
          <w:shd w:val="clear" w:color="auto" w:fill="FFFFFF"/>
          <w:lang w:val="el-GR"/>
        </w:rPr>
        <w:t>,1987)</w:t>
      </w:r>
      <w:r w:rsidRPr="00CC4CE4">
        <w:rPr>
          <w:lang w:val="el-GR"/>
        </w:rPr>
        <w:t xml:space="preserve">. Ένας από αυτούς είναι τα ερωτηματολόγια </w:t>
      </w:r>
      <w:proofErr w:type="spellStart"/>
      <w:r w:rsidRPr="00CC4CE4">
        <w:rPr>
          <w:lang w:val="el-GR"/>
        </w:rPr>
        <w:t>αυτο</w:t>
      </w:r>
      <w:proofErr w:type="spellEnd"/>
      <w:r w:rsidRPr="00CC4CE4">
        <w:rPr>
          <w:lang w:val="el-GR"/>
        </w:rPr>
        <w:t>-αξιολόγησης, που αποτελούν εργαλείο ανίχνευσης της δυσφαγίας (</w:t>
      </w:r>
      <w:r w:rsidRPr="00BD0ED2">
        <w:rPr>
          <w:color w:val="222222"/>
          <w:shd w:val="clear" w:color="auto" w:fill="FFFFFF"/>
        </w:rPr>
        <w:t>Cohen</w:t>
      </w:r>
      <w:r w:rsidRPr="00CC4CE4">
        <w:rPr>
          <w:color w:val="222222"/>
          <w:shd w:val="clear" w:color="auto" w:fill="FFFFFF"/>
          <w:lang w:val="el-GR"/>
        </w:rPr>
        <w:t xml:space="preserve"> &amp; </w:t>
      </w:r>
      <w:r w:rsidRPr="00BD0ED2">
        <w:rPr>
          <w:color w:val="222222"/>
          <w:shd w:val="clear" w:color="auto" w:fill="FFFFFF"/>
        </w:rPr>
        <w:t>Manor</w:t>
      </w:r>
      <w:r w:rsidRPr="00CC4CE4">
        <w:rPr>
          <w:color w:val="222222"/>
          <w:shd w:val="clear" w:color="auto" w:fill="FFFFFF"/>
          <w:lang w:val="el-GR"/>
        </w:rPr>
        <w:t>, 2011).</w:t>
      </w:r>
      <w:r w:rsidRPr="00CC4CE4">
        <w:rPr>
          <w:rFonts w:ascii="Arial" w:hAnsi="Arial" w:cs="Arial"/>
          <w:color w:val="222222"/>
          <w:sz w:val="20"/>
          <w:szCs w:val="20"/>
          <w:shd w:val="clear" w:color="auto" w:fill="FFFFFF"/>
          <w:lang w:val="el-GR"/>
        </w:rPr>
        <w:t xml:space="preserve"> </w:t>
      </w:r>
      <w:r w:rsidRPr="00CC4CE4">
        <w:rPr>
          <w:lang w:val="el-GR"/>
        </w:rPr>
        <w:t>Τέτοιου είδους τεστ προτιμώνται εξαιτίας της ευκολίας στη χρήση τους, διότι δεν απαιτείται εξειδίκευση για τη χορήγησή τους. Ακόμη, ο χρόνος διεξαγωγής τους είναι σύντομος όπως και η διαδικασία βαθμολόγησης. Ένα κύριο πλεονέκτημα είναι ότι τα αποτελέσματα ερμηνεύονται εύκολα και μπορούν να ανιχνεύσουν κάποια συμπτώματα που υπονοούν την ύπαρξη δυσφαγίας (</w:t>
      </w:r>
      <w:proofErr w:type="spellStart"/>
      <w:r w:rsidRPr="00C068C8">
        <w:rPr>
          <w:color w:val="222222"/>
          <w:szCs w:val="20"/>
          <w:shd w:val="clear" w:color="auto" w:fill="FFFFFF"/>
          <w:lang w:val="en-US"/>
        </w:rPr>
        <w:t>Snowling</w:t>
      </w:r>
      <w:proofErr w:type="spellEnd"/>
      <w:r w:rsidRPr="00CC4CE4">
        <w:rPr>
          <w:color w:val="222222"/>
          <w:szCs w:val="20"/>
          <w:shd w:val="clear" w:color="auto" w:fill="FFFFFF"/>
          <w:lang w:val="el-GR"/>
        </w:rPr>
        <w:t xml:space="preserve"> </w:t>
      </w:r>
      <w:r>
        <w:rPr>
          <w:color w:val="222222"/>
          <w:szCs w:val="20"/>
          <w:shd w:val="clear" w:color="auto" w:fill="FFFFFF"/>
          <w:lang w:val="en-US"/>
        </w:rPr>
        <w:t>et</w:t>
      </w:r>
      <w:r w:rsidRPr="00CC4CE4">
        <w:rPr>
          <w:color w:val="222222"/>
          <w:szCs w:val="20"/>
          <w:shd w:val="clear" w:color="auto" w:fill="FFFFFF"/>
          <w:lang w:val="el-GR"/>
        </w:rPr>
        <w:t xml:space="preserve"> </w:t>
      </w:r>
      <w:r>
        <w:rPr>
          <w:color w:val="222222"/>
          <w:szCs w:val="20"/>
          <w:shd w:val="clear" w:color="auto" w:fill="FFFFFF"/>
          <w:lang w:val="en-US"/>
        </w:rPr>
        <w:t>al</w:t>
      </w:r>
      <w:r w:rsidRPr="00CC4CE4">
        <w:rPr>
          <w:color w:val="222222"/>
          <w:szCs w:val="20"/>
          <w:shd w:val="clear" w:color="auto" w:fill="FFFFFF"/>
          <w:lang w:val="el-GR"/>
        </w:rPr>
        <w:t xml:space="preserve">, </w:t>
      </w:r>
      <w:r w:rsidRPr="00CC4CE4">
        <w:rPr>
          <w:color w:val="222222"/>
          <w:szCs w:val="20"/>
          <w:shd w:val="clear" w:color="auto" w:fill="FFFFFF"/>
          <w:lang w:val="el-GR"/>
        </w:rPr>
        <w:lastRenderedPageBreak/>
        <w:t>2012)</w:t>
      </w:r>
      <w:r w:rsidRPr="00CC4CE4">
        <w:rPr>
          <w:lang w:val="el-GR"/>
        </w:rPr>
        <w:t>. Σε τέτοιες περιπτώσεις ο εξεταζόμενος παραπέμπεται για περαιτέρω αξιολόγηση (</w:t>
      </w:r>
      <w:r>
        <w:rPr>
          <w:lang w:val="en-US"/>
        </w:rPr>
        <w:t>Murry</w:t>
      </w:r>
      <w:r w:rsidRPr="00CC4CE4">
        <w:rPr>
          <w:lang w:val="el-GR"/>
        </w:rPr>
        <w:t xml:space="preserve"> &amp; </w:t>
      </w:r>
      <w:proofErr w:type="spellStart"/>
      <w:r>
        <w:rPr>
          <w:lang w:val="en-US"/>
        </w:rPr>
        <w:t>Carrau</w:t>
      </w:r>
      <w:proofErr w:type="spellEnd"/>
      <w:r w:rsidRPr="00CC4CE4">
        <w:rPr>
          <w:lang w:val="el-GR"/>
        </w:rPr>
        <w:t xml:space="preserve">, 2014; </w:t>
      </w:r>
      <w:proofErr w:type="spellStart"/>
      <w:r w:rsidRPr="00C068C8">
        <w:rPr>
          <w:color w:val="222222"/>
          <w:szCs w:val="20"/>
          <w:shd w:val="clear" w:color="auto" w:fill="FFFFFF"/>
          <w:lang w:val="en-US"/>
        </w:rPr>
        <w:t>Snowling</w:t>
      </w:r>
      <w:proofErr w:type="spellEnd"/>
      <w:r w:rsidRPr="00CC4CE4">
        <w:rPr>
          <w:color w:val="222222"/>
          <w:szCs w:val="20"/>
          <w:shd w:val="clear" w:color="auto" w:fill="FFFFFF"/>
          <w:lang w:val="el-GR"/>
        </w:rPr>
        <w:t xml:space="preserve"> </w:t>
      </w:r>
      <w:r>
        <w:rPr>
          <w:color w:val="222222"/>
          <w:szCs w:val="20"/>
          <w:shd w:val="clear" w:color="auto" w:fill="FFFFFF"/>
          <w:lang w:val="en-US"/>
        </w:rPr>
        <w:t>et</w:t>
      </w:r>
      <w:r w:rsidRPr="00CC4CE4">
        <w:rPr>
          <w:color w:val="222222"/>
          <w:szCs w:val="20"/>
          <w:shd w:val="clear" w:color="auto" w:fill="FFFFFF"/>
          <w:lang w:val="el-GR"/>
        </w:rPr>
        <w:t xml:space="preserve"> </w:t>
      </w:r>
      <w:r>
        <w:rPr>
          <w:color w:val="222222"/>
          <w:szCs w:val="20"/>
          <w:shd w:val="clear" w:color="auto" w:fill="FFFFFF"/>
          <w:lang w:val="en-US"/>
        </w:rPr>
        <w:t>al</w:t>
      </w:r>
      <w:r w:rsidRPr="00CC4CE4">
        <w:rPr>
          <w:color w:val="222222"/>
          <w:szCs w:val="20"/>
          <w:shd w:val="clear" w:color="auto" w:fill="FFFFFF"/>
          <w:lang w:val="el-GR"/>
        </w:rPr>
        <w:t>, 2012</w:t>
      </w:r>
      <w:r w:rsidRPr="00CC4CE4">
        <w:rPr>
          <w:lang w:val="el-GR"/>
        </w:rPr>
        <w:t>).</w:t>
      </w:r>
    </w:p>
    <w:p w14:paraId="1A76B45A" w14:textId="77777777" w:rsidR="00CC4CE4" w:rsidRPr="00CC4CE4" w:rsidRDefault="00CC4CE4" w:rsidP="00203AC0">
      <w:pPr>
        <w:spacing w:after="120" w:line="360" w:lineRule="auto"/>
        <w:ind w:left="357"/>
        <w:jc w:val="both"/>
        <w:rPr>
          <w:lang w:val="el-GR"/>
        </w:rPr>
      </w:pPr>
      <w:r w:rsidRPr="00CC4CE4">
        <w:rPr>
          <w:lang w:val="el-GR"/>
        </w:rPr>
        <w:t xml:space="preserve">Βάσει των παραπάνω δεδομένων επιλέχθηκε το ερωτηματολόγιο </w:t>
      </w:r>
      <w:r w:rsidRPr="0092736E">
        <w:rPr>
          <w:lang w:val="en-US"/>
        </w:rPr>
        <w:t>Dysphagia</w:t>
      </w:r>
      <w:r w:rsidRPr="00CC4CE4">
        <w:rPr>
          <w:lang w:val="el-GR"/>
        </w:rPr>
        <w:t xml:space="preserve"> </w:t>
      </w:r>
      <w:r w:rsidRPr="0092736E">
        <w:rPr>
          <w:lang w:val="en-US"/>
        </w:rPr>
        <w:t>in</w:t>
      </w:r>
      <w:r w:rsidRPr="00CC4CE4">
        <w:rPr>
          <w:lang w:val="el-GR"/>
        </w:rPr>
        <w:t xml:space="preserve"> </w:t>
      </w:r>
      <w:r w:rsidRPr="0092736E">
        <w:rPr>
          <w:lang w:val="en-US"/>
        </w:rPr>
        <w:t>Head</w:t>
      </w:r>
      <w:r w:rsidRPr="00CC4CE4">
        <w:rPr>
          <w:lang w:val="el-GR"/>
        </w:rPr>
        <w:t xml:space="preserve"> </w:t>
      </w:r>
      <w:r w:rsidRPr="0092736E">
        <w:rPr>
          <w:lang w:val="en-US"/>
        </w:rPr>
        <w:t>and</w:t>
      </w:r>
      <w:r w:rsidRPr="00CC4CE4">
        <w:rPr>
          <w:lang w:val="el-GR"/>
        </w:rPr>
        <w:t xml:space="preserve"> </w:t>
      </w:r>
      <w:r w:rsidRPr="0092736E">
        <w:rPr>
          <w:lang w:val="en-US"/>
        </w:rPr>
        <w:t>Neck</w:t>
      </w:r>
      <w:r w:rsidRPr="00CC4CE4">
        <w:rPr>
          <w:lang w:val="el-GR"/>
        </w:rPr>
        <w:t xml:space="preserve"> </w:t>
      </w:r>
      <w:r w:rsidRPr="0092736E">
        <w:rPr>
          <w:lang w:val="en-US"/>
        </w:rPr>
        <w:t>Cancer</w:t>
      </w:r>
      <w:r w:rsidRPr="00CC4CE4">
        <w:rPr>
          <w:lang w:val="el-GR"/>
        </w:rPr>
        <w:t xml:space="preserve"> (</w:t>
      </w:r>
      <w:r w:rsidRPr="0092736E">
        <w:rPr>
          <w:lang w:val="en-US"/>
        </w:rPr>
        <w:t>Garcia</w:t>
      </w:r>
      <w:r w:rsidRPr="00CC4CE4">
        <w:rPr>
          <w:lang w:val="el-GR"/>
        </w:rPr>
        <w:t xml:space="preserve"> – </w:t>
      </w:r>
      <w:r w:rsidRPr="0092736E">
        <w:rPr>
          <w:lang w:val="en-US"/>
        </w:rPr>
        <w:t>Peris</w:t>
      </w:r>
      <w:r w:rsidRPr="00CC4CE4">
        <w:rPr>
          <w:lang w:val="el-GR"/>
        </w:rPr>
        <w:t xml:space="preserve">, </w:t>
      </w:r>
      <w:r w:rsidRPr="0092736E">
        <w:rPr>
          <w:lang w:val="en-US"/>
        </w:rPr>
        <w:t>P</w:t>
      </w:r>
      <w:r w:rsidRPr="00CC4CE4">
        <w:rPr>
          <w:lang w:val="el-GR"/>
        </w:rPr>
        <w:t xml:space="preserve">., </w:t>
      </w:r>
      <w:r w:rsidRPr="0092736E">
        <w:rPr>
          <w:lang w:val="en-US"/>
        </w:rPr>
        <w:t>et</w:t>
      </w:r>
      <w:r w:rsidRPr="00CC4CE4">
        <w:rPr>
          <w:lang w:val="el-GR"/>
        </w:rPr>
        <w:t xml:space="preserve"> </w:t>
      </w:r>
      <w:r w:rsidRPr="0092736E">
        <w:rPr>
          <w:lang w:val="en-US"/>
        </w:rPr>
        <w:t>al</w:t>
      </w:r>
      <w:r w:rsidRPr="00CC4CE4">
        <w:rPr>
          <w:lang w:val="el-GR"/>
        </w:rPr>
        <w:t>., 2007) ως αντικείμενο για αυτήν την πιλοτική έρευνα.  Τα αποτελέσματα των στατιστικών αναλύσεων απέδειξαν ότι προβλήματα δυσφαγίας εμφανίζονται τόσο στις γυναίκες, όσο και στους άντρες (βλέπε πίνακα 3.3). Εν αντιθέσει, παρατηρούνται σημαντικές αποκλείσεις ανάμεσα στις ηλικιακές ομάδες, όπου οι μεγαλύτερες ηλικίες φαίνεται να είναι πιο επιρρεπείς σε διαταραχές της κατάποσής τους (βλέπε πίνακα 3.4).</w:t>
      </w:r>
    </w:p>
    <w:p w14:paraId="56F195D2" w14:textId="4C1A24DD" w:rsidR="00CC4CE4" w:rsidRPr="00CC4CE4" w:rsidRDefault="00CC4CE4" w:rsidP="00203AC0">
      <w:pPr>
        <w:spacing w:after="120" w:line="360" w:lineRule="auto"/>
        <w:ind w:left="357"/>
        <w:jc w:val="both"/>
        <w:rPr>
          <w:lang w:val="el-GR"/>
        </w:rPr>
      </w:pPr>
      <w:r w:rsidRPr="00CC4CE4">
        <w:rPr>
          <w:lang w:val="el-GR"/>
        </w:rPr>
        <w:t>Μια τέτοια διαφορά ήταν αναμενόμενη να υφίσταται, καθώς με το πέρασμα των ετών οι λειτουργίες του ανθρώπου τείνουν να επιδεινώνονται (Πλατή,2000), όπως για παράδειγμα η όραση, η ακοή, η μνήμη και άλλες νοητικές και επικοινωνιακές λειτουργίες (</w:t>
      </w:r>
      <w:r>
        <w:rPr>
          <w:lang w:val="en-US"/>
        </w:rPr>
        <w:t>Martyn</w:t>
      </w:r>
      <w:r w:rsidRPr="00CC4CE4">
        <w:rPr>
          <w:lang w:val="el-GR"/>
        </w:rPr>
        <w:t xml:space="preserve"> &amp; </w:t>
      </w:r>
      <w:r>
        <w:rPr>
          <w:lang w:val="en-US"/>
        </w:rPr>
        <w:t>Gale</w:t>
      </w:r>
      <w:r w:rsidRPr="00CC4CE4">
        <w:rPr>
          <w:lang w:val="el-GR"/>
        </w:rPr>
        <w:t>, 2007). Το ίδιο ισχύει και για τον τομέα της κατάποσης, όπως επιβεβαιώνεται παρακάτω. Η δυσφαγία που συναντάται σε ηλικιωμένα άτομα οφείλεται κατά ένα μέρος στις αλλαγές που υποβάλλεται ο μηχανισμός της κατάποσης, ως απόρροια της διαδικασίας του γήρατος (</w:t>
      </w:r>
      <w:proofErr w:type="spellStart"/>
      <w:r w:rsidRPr="0092736E">
        <w:rPr>
          <w:lang w:val="en-US"/>
        </w:rPr>
        <w:t>Sonies</w:t>
      </w:r>
      <w:proofErr w:type="spellEnd"/>
      <w:r w:rsidRPr="00CC4CE4">
        <w:rPr>
          <w:lang w:val="el-GR"/>
        </w:rPr>
        <w:t xml:space="preserve"> </w:t>
      </w:r>
      <w:r w:rsidRPr="0092736E">
        <w:rPr>
          <w:lang w:val="en-US"/>
        </w:rPr>
        <w:t>et</w:t>
      </w:r>
      <w:r w:rsidRPr="00CC4CE4">
        <w:rPr>
          <w:lang w:val="el-GR"/>
        </w:rPr>
        <w:t xml:space="preserve"> </w:t>
      </w:r>
      <w:r w:rsidRPr="0092736E">
        <w:rPr>
          <w:lang w:val="en-US"/>
        </w:rPr>
        <w:t>al</w:t>
      </w:r>
      <w:r w:rsidRPr="00CC4CE4">
        <w:rPr>
          <w:lang w:val="el-GR"/>
        </w:rPr>
        <w:t xml:space="preserve">. 1984; </w:t>
      </w:r>
      <w:proofErr w:type="spellStart"/>
      <w:r w:rsidRPr="0092736E">
        <w:rPr>
          <w:lang w:val="en-US"/>
        </w:rPr>
        <w:lastRenderedPageBreak/>
        <w:t>Borgstrom</w:t>
      </w:r>
      <w:proofErr w:type="spellEnd"/>
      <w:r w:rsidRPr="00CC4CE4">
        <w:rPr>
          <w:lang w:val="el-GR"/>
        </w:rPr>
        <w:t xml:space="preserve"> </w:t>
      </w:r>
      <w:r w:rsidRPr="0092736E">
        <w:rPr>
          <w:lang w:val="en-US"/>
        </w:rPr>
        <w:t>and</w:t>
      </w:r>
      <w:r w:rsidRPr="00CC4CE4">
        <w:rPr>
          <w:lang w:val="el-GR"/>
        </w:rPr>
        <w:t xml:space="preserve"> </w:t>
      </w:r>
      <w:r w:rsidRPr="0092736E">
        <w:rPr>
          <w:lang w:val="en-US"/>
        </w:rPr>
        <w:t>Ekberg</w:t>
      </w:r>
      <w:r w:rsidRPr="00CC4CE4">
        <w:rPr>
          <w:lang w:val="el-GR"/>
        </w:rPr>
        <w:t xml:space="preserve"> 1988; </w:t>
      </w:r>
      <w:r w:rsidRPr="0092736E">
        <w:rPr>
          <w:lang w:val="en-US"/>
        </w:rPr>
        <w:t>Robbins</w:t>
      </w:r>
      <w:r w:rsidRPr="00CC4CE4">
        <w:rPr>
          <w:lang w:val="el-GR"/>
        </w:rPr>
        <w:t xml:space="preserve"> </w:t>
      </w:r>
      <w:r w:rsidRPr="0092736E">
        <w:rPr>
          <w:lang w:val="en-US"/>
        </w:rPr>
        <w:t>et</w:t>
      </w:r>
      <w:r w:rsidRPr="00CC4CE4">
        <w:rPr>
          <w:lang w:val="el-GR"/>
        </w:rPr>
        <w:t xml:space="preserve"> </w:t>
      </w:r>
      <w:r w:rsidRPr="0092736E">
        <w:rPr>
          <w:lang w:val="en-US"/>
        </w:rPr>
        <w:t>al</w:t>
      </w:r>
      <w:r w:rsidRPr="00CC4CE4">
        <w:rPr>
          <w:lang w:val="el-GR"/>
        </w:rPr>
        <w:t xml:space="preserve">.1992; </w:t>
      </w:r>
      <w:proofErr w:type="spellStart"/>
      <w:r w:rsidRPr="00CC4CE4">
        <w:rPr>
          <w:lang w:val="el-GR"/>
        </w:rPr>
        <w:t>Πλατή</w:t>
      </w:r>
      <w:proofErr w:type="spellEnd"/>
      <w:r w:rsidRPr="00CC4CE4">
        <w:rPr>
          <w:lang w:val="el-GR"/>
        </w:rPr>
        <w:t xml:space="preserve">, 2000). Επιπρόσθετα, όπως αναφέρει η </w:t>
      </w:r>
      <w:proofErr w:type="spellStart"/>
      <w:r w:rsidRPr="0092736E">
        <w:rPr>
          <w:lang w:val="en-US"/>
        </w:rPr>
        <w:t>Logemann</w:t>
      </w:r>
      <w:proofErr w:type="spellEnd"/>
      <w:r w:rsidRPr="00CC4CE4">
        <w:rPr>
          <w:lang w:val="el-GR"/>
        </w:rPr>
        <w:t xml:space="preserve"> (1998)  μπορεί να υπάρχουν προβλήματα στη προετοιμασία του βλωμού, μείωση της ελαστικότητας των φαρυγγικών τοιχωμάτων και της κινητικότητας του λάρυγγα και του υοειδούς οστού, καθώς επίσης συγκράτηση τ</w:t>
      </w:r>
      <w:r w:rsidR="00230D3A">
        <w:rPr>
          <w:lang w:val="el-GR"/>
        </w:rPr>
        <w:t>ου βλωμού στη βάση του στόματος</w:t>
      </w:r>
      <w:r w:rsidRPr="00CC4CE4">
        <w:rPr>
          <w:lang w:val="el-GR"/>
        </w:rPr>
        <w:t>.</w:t>
      </w:r>
      <w:r w:rsidR="00230D3A" w:rsidRPr="00230D3A">
        <w:rPr>
          <w:lang w:val="el-GR"/>
        </w:rPr>
        <w:t xml:space="preserve"> </w:t>
      </w:r>
      <w:r w:rsidRPr="00CC4CE4">
        <w:rPr>
          <w:lang w:val="el-GR"/>
        </w:rPr>
        <w:t>Είναι πιθανό να γίνει σύγχυση των διαταραχών κατάποσης που εμφανίζονται εξαιτίας γήρατος με τη δυσφαγία που μπορεί να αποτελε</w:t>
      </w:r>
      <w:r w:rsidR="00040826">
        <w:rPr>
          <w:lang w:val="el-GR"/>
        </w:rPr>
        <w:t>ί σύμπτωμα κάποιας παθολογίας γι’</w:t>
      </w:r>
      <w:r w:rsidRPr="00CC4CE4">
        <w:rPr>
          <w:lang w:val="el-GR"/>
        </w:rPr>
        <w:t xml:space="preserve"> αυτό απαιτείται η </w:t>
      </w:r>
      <w:proofErr w:type="spellStart"/>
      <w:r w:rsidRPr="00CC4CE4">
        <w:rPr>
          <w:lang w:val="el-GR"/>
        </w:rPr>
        <w:t>διαφοροδιάγνωση</w:t>
      </w:r>
      <w:proofErr w:type="spellEnd"/>
      <w:r w:rsidRPr="00CC4CE4">
        <w:rPr>
          <w:lang w:val="el-GR"/>
        </w:rPr>
        <w:t xml:space="preserve"> (</w:t>
      </w:r>
      <w:proofErr w:type="spellStart"/>
      <w:r w:rsidRPr="0092736E">
        <w:rPr>
          <w:lang w:val="en-US"/>
        </w:rPr>
        <w:t>Cichero</w:t>
      </w:r>
      <w:proofErr w:type="spellEnd"/>
      <w:r w:rsidRPr="00CC4CE4">
        <w:rPr>
          <w:lang w:val="el-GR"/>
        </w:rPr>
        <w:t xml:space="preserve"> &amp; </w:t>
      </w:r>
      <w:r w:rsidRPr="0092736E">
        <w:rPr>
          <w:lang w:val="en-US"/>
        </w:rPr>
        <w:t>Murdoch</w:t>
      </w:r>
      <w:r w:rsidRPr="00CC4CE4">
        <w:rPr>
          <w:lang w:val="el-GR"/>
        </w:rPr>
        <w:t>, 2006; Πλατή,2000)</w:t>
      </w:r>
    </w:p>
    <w:p w14:paraId="0D0D81D1" w14:textId="2E07BE50" w:rsidR="00CC4CE4" w:rsidRPr="00CC4CE4" w:rsidRDefault="00CC4CE4" w:rsidP="00203AC0">
      <w:pPr>
        <w:spacing w:after="120" w:line="360" w:lineRule="auto"/>
        <w:ind w:left="357"/>
        <w:jc w:val="both"/>
        <w:rPr>
          <w:color w:val="222222"/>
          <w:szCs w:val="20"/>
          <w:shd w:val="clear" w:color="auto" w:fill="FFFFFF"/>
          <w:lang w:val="el-GR"/>
        </w:rPr>
      </w:pPr>
      <w:r w:rsidRPr="00CC4CE4">
        <w:rPr>
          <w:lang w:val="el-GR"/>
        </w:rPr>
        <w:t xml:space="preserve">Από τα παραπάνω, συνάγεται το συμπέρασμα ότι η διατροφή αυτών των ατόμων είναι ανεπαρκής, διότι δε λαμβάνουν τα απαραίτητα θρεπτικά συστατικά. Κάτι τέτοιο μπορεί να παρατηρηθεί τόσο σε τυπικό όσο και σε παθολογικό πληθυσμό. Σε έρευνα, που πραγματοποίησαν οι </w:t>
      </w:r>
      <w:proofErr w:type="spellStart"/>
      <w:r>
        <w:rPr>
          <w:color w:val="222222"/>
          <w:szCs w:val="20"/>
          <w:shd w:val="clear" w:color="auto" w:fill="FFFFFF"/>
          <w:lang w:val="en-US"/>
        </w:rPr>
        <w:t>Ekber</w:t>
      </w:r>
      <w:proofErr w:type="spellEnd"/>
      <w:r w:rsidRPr="00CC4CE4">
        <w:rPr>
          <w:color w:val="222222"/>
          <w:szCs w:val="20"/>
          <w:shd w:val="clear" w:color="auto" w:fill="FFFFFF"/>
          <w:lang w:val="el-GR"/>
        </w:rPr>
        <w:t xml:space="preserve">, </w:t>
      </w:r>
      <w:r>
        <w:rPr>
          <w:color w:val="222222"/>
          <w:szCs w:val="20"/>
          <w:shd w:val="clear" w:color="auto" w:fill="FFFFFF"/>
          <w:lang w:val="en-US"/>
        </w:rPr>
        <w:t>et</w:t>
      </w:r>
      <w:r w:rsidRPr="00CC4CE4">
        <w:rPr>
          <w:color w:val="222222"/>
          <w:szCs w:val="20"/>
          <w:shd w:val="clear" w:color="auto" w:fill="FFFFFF"/>
          <w:lang w:val="el-GR"/>
        </w:rPr>
        <w:t xml:space="preserve"> </w:t>
      </w:r>
      <w:r>
        <w:rPr>
          <w:color w:val="222222"/>
          <w:szCs w:val="20"/>
          <w:shd w:val="clear" w:color="auto" w:fill="FFFFFF"/>
          <w:lang w:val="en-US"/>
        </w:rPr>
        <w:t>al</w:t>
      </w:r>
      <w:r w:rsidRPr="00CC4CE4">
        <w:rPr>
          <w:color w:val="222222"/>
          <w:szCs w:val="20"/>
          <w:shd w:val="clear" w:color="auto" w:fill="FFFFFF"/>
          <w:lang w:val="el-GR"/>
        </w:rPr>
        <w:t xml:space="preserve"> το 2002, συμμετείχαν 360 άτομα τα οποία ανέφεραν δυσκολίες στην κατάποσή τους. Ασθενείς από την Γερμανία, Ισπανία, Γαλλία και το Ηνωμένο Βασίλειο, ήταν είτε νοσηλευόμενοι  σε κλινικές, είτε όχι και </w:t>
      </w:r>
      <w:r w:rsidR="002C4B12" w:rsidRPr="00CC4CE4">
        <w:rPr>
          <w:color w:val="222222"/>
          <w:szCs w:val="20"/>
          <w:shd w:val="clear" w:color="auto" w:fill="FFFFFF"/>
          <w:lang w:val="el-GR"/>
        </w:rPr>
        <w:t>κλήθηκαν</w:t>
      </w:r>
      <w:r w:rsidRPr="00CC4CE4">
        <w:rPr>
          <w:color w:val="222222"/>
          <w:szCs w:val="20"/>
          <w:shd w:val="clear" w:color="auto" w:fill="FFFFFF"/>
          <w:lang w:val="el-GR"/>
        </w:rPr>
        <w:t xml:space="preserve"> να συμπληρώσουν ένα σταθμισμένο ερωτηματολόγιο. Σε ποσοστό πάνω από 50%  ισχυρίζονταν ότι τρώνε λιγότερο, με το 44% να </w:t>
      </w:r>
      <w:r w:rsidRPr="00CC4CE4">
        <w:rPr>
          <w:color w:val="222222"/>
          <w:szCs w:val="20"/>
          <w:shd w:val="clear" w:color="auto" w:fill="FFFFFF"/>
          <w:lang w:val="el-GR"/>
        </w:rPr>
        <w:lastRenderedPageBreak/>
        <w:t xml:space="preserve">σημειώνει απώλεια βάρους. Το 36% των ατόμων είχε λάβει επίσημη διάγνωση για τα προβλήματα κατάποσής του, αλλά μόλις το 32% συμμετείχε σε πρόγραμμα θεραπείας με </w:t>
      </w:r>
      <w:proofErr w:type="spellStart"/>
      <w:r w:rsidRPr="00CC4CE4">
        <w:rPr>
          <w:color w:val="222222"/>
          <w:szCs w:val="20"/>
          <w:shd w:val="clear" w:color="auto" w:fill="FFFFFF"/>
          <w:lang w:val="el-GR"/>
        </w:rPr>
        <w:t>καταρτημένους</w:t>
      </w:r>
      <w:proofErr w:type="spellEnd"/>
      <w:r w:rsidRPr="00CC4CE4">
        <w:rPr>
          <w:color w:val="222222"/>
          <w:szCs w:val="20"/>
          <w:shd w:val="clear" w:color="auto" w:fill="FFFFFF"/>
          <w:lang w:val="el-GR"/>
        </w:rPr>
        <w:t xml:space="preserve"> ειδικούς. Η διαδικασία σίτισης για το 45% των ασθενών δεν ήταν ευχάριστη. Μάλιστα, το 41% των ατόμων βίωσαν αισθήματα πανικού ή άγχους και το 36% απέφευγε να γευματίζει με άλλα άτομα.</w:t>
      </w:r>
    </w:p>
    <w:p w14:paraId="5A39F150" w14:textId="4763A1F9" w:rsidR="00CC4CE4" w:rsidRPr="00CC4CE4" w:rsidRDefault="00CC4CE4" w:rsidP="00203AC0">
      <w:pPr>
        <w:spacing w:after="120" w:line="360" w:lineRule="auto"/>
        <w:ind w:left="357"/>
        <w:jc w:val="both"/>
        <w:rPr>
          <w:color w:val="222222"/>
          <w:szCs w:val="20"/>
          <w:shd w:val="clear" w:color="auto" w:fill="FFFFFF"/>
          <w:lang w:val="el-GR"/>
        </w:rPr>
      </w:pPr>
      <w:r w:rsidRPr="00CC4CE4">
        <w:rPr>
          <w:lang w:val="el-GR"/>
        </w:rPr>
        <w:t xml:space="preserve">Μία ακόμη έρευνα των </w:t>
      </w:r>
      <w:r w:rsidRPr="0092736E">
        <w:rPr>
          <w:lang w:val="en-US"/>
        </w:rPr>
        <w:t>Garcia</w:t>
      </w:r>
      <w:r w:rsidRPr="00CC4CE4">
        <w:rPr>
          <w:lang w:val="el-GR"/>
        </w:rPr>
        <w:t xml:space="preserve"> – </w:t>
      </w:r>
      <w:r w:rsidRPr="0092736E">
        <w:rPr>
          <w:lang w:val="en-US"/>
        </w:rPr>
        <w:t>Peris</w:t>
      </w:r>
      <w:r w:rsidRPr="00CC4CE4">
        <w:rPr>
          <w:lang w:val="el-GR"/>
        </w:rPr>
        <w:t xml:space="preserve">, </w:t>
      </w:r>
      <w:r w:rsidRPr="0092736E">
        <w:rPr>
          <w:lang w:val="en-US"/>
        </w:rPr>
        <w:t>P</w:t>
      </w:r>
      <w:r w:rsidRPr="00CC4CE4">
        <w:rPr>
          <w:lang w:val="el-GR"/>
        </w:rPr>
        <w:t xml:space="preserve">., </w:t>
      </w:r>
      <w:r w:rsidRPr="0092736E">
        <w:rPr>
          <w:lang w:val="en-US"/>
        </w:rPr>
        <w:t>et</w:t>
      </w:r>
      <w:r w:rsidRPr="00CC4CE4">
        <w:rPr>
          <w:lang w:val="el-GR"/>
        </w:rPr>
        <w:t xml:space="preserve"> </w:t>
      </w:r>
      <w:r w:rsidRPr="0092736E">
        <w:rPr>
          <w:lang w:val="en-US"/>
        </w:rPr>
        <w:t>al</w:t>
      </w:r>
      <w:r w:rsidRPr="00CC4CE4">
        <w:rPr>
          <w:lang w:val="el-GR"/>
        </w:rPr>
        <w:t>. (2007) που διεξήχθη σε παθολογικό πληθυσμό 87 ατόμων με καρκίνο κεφαλής τραχήλου, εντόπισε ότι το 20,3% υποσιτιζόταν, ενώ στο 57,1% ήταν απαραίτητη η θρεπτική ενίσχυση. Ως απόρροια παρατηρήθηκε η έκπτωση ποιότητας της ζωής. Το 37% των ασθενών ένιωθαν ντροπή κα</w:t>
      </w:r>
      <w:r w:rsidR="0016508D">
        <w:rPr>
          <w:lang w:val="el-GR"/>
        </w:rPr>
        <w:t>τά τη διάρκεια των γευμάτων, ενώ</w:t>
      </w:r>
      <w:r w:rsidRPr="00CC4CE4">
        <w:rPr>
          <w:lang w:val="el-GR"/>
        </w:rPr>
        <w:t xml:space="preserve"> το 62% απέφευγαν να γευματίζουν με άλλα άτομα. Αυτό σε βάθος χρόνου οδηγεί τα άτομα στην απομόνωση και επηρεάζει τη κοινωνική τους ζωή. Οι κλινικοί θα πρέπει να είναι σε επαγρύπνηση για τις αρνητικές επιπτώσεις της δυσφαγίας στην αυτοεκτίμηση, κοινωνικοποίηση και γενικά στην απόλαυση της ζωής αυτών των ατόμων (</w:t>
      </w:r>
      <w:proofErr w:type="spellStart"/>
      <w:r>
        <w:rPr>
          <w:color w:val="222222"/>
          <w:szCs w:val="20"/>
          <w:shd w:val="clear" w:color="auto" w:fill="FFFFFF"/>
          <w:lang w:val="en-US"/>
        </w:rPr>
        <w:t>Ekber</w:t>
      </w:r>
      <w:proofErr w:type="spellEnd"/>
      <w:r w:rsidRPr="00CC4CE4">
        <w:rPr>
          <w:color w:val="222222"/>
          <w:szCs w:val="20"/>
          <w:shd w:val="clear" w:color="auto" w:fill="FFFFFF"/>
          <w:lang w:val="el-GR"/>
        </w:rPr>
        <w:t xml:space="preserve">, </w:t>
      </w:r>
      <w:r>
        <w:rPr>
          <w:color w:val="222222"/>
          <w:szCs w:val="20"/>
          <w:shd w:val="clear" w:color="auto" w:fill="FFFFFF"/>
          <w:lang w:val="en-US"/>
        </w:rPr>
        <w:t>et</w:t>
      </w:r>
      <w:r w:rsidRPr="00CC4CE4">
        <w:rPr>
          <w:color w:val="222222"/>
          <w:szCs w:val="20"/>
          <w:shd w:val="clear" w:color="auto" w:fill="FFFFFF"/>
          <w:lang w:val="el-GR"/>
        </w:rPr>
        <w:t xml:space="preserve"> </w:t>
      </w:r>
      <w:r>
        <w:rPr>
          <w:color w:val="222222"/>
          <w:szCs w:val="20"/>
          <w:shd w:val="clear" w:color="auto" w:fill="FFFFFF"/>
          <w:lang w:val="en-US"/>
        </w:rPr>
        <w:t>al</w:t>
      </w:r>
      <w:r w:rsidRPr="00CC4CE4">
        <w:rPr>
          <w:color w:val="222222"/>
          <w:szCs w:val="20"/>
          <w:shd w:val="clear" w:color="auto" w:fill="FFFFFF"/>
          <w:lang w:val="el-GR"/>
        </w:rPr>
        <w:t>, 2002)</w:t>
      </w:r>
    </w:p>
    <w:p w14:paraId="7BEB615A" w14:textId="5A3D0688" w:rsidR="00CC4CE4" w:rsidRPr="00CC4CE4" w:rsidRDefault="00CC4CE4" w:rsidP="00203AC0">
      <w:pPr>
        <w:spacing w:after="120" w:line="360" w:lineRule="auto"/>
        <w:ind w:left="357"/>
        <w:jc w:val="both"/>
        <w:rPr>
          <w:lang w:val="el-GR"/>
        </w:rPr>
      </w:pPr>
      <w:r w:rsidRPr="00CC4CE4">
        <w:rPr>
          <w:lang w:val="el-GR"/>
        </w:rPr>
        <w:lastRenderedPageBreak/>
        <w:t xml:space="preserve">Τα παραπάνω στατιστικά του κεφαλαίου 3, υποδεικνύουν ότι το δείγμα είναι ενδεικτικό για μία μελλοντική στάθμιση του ερωτηματολογίου στον ελληνικό πληθυσμό. Επιπλέον, είναι δόκιμο η πιθανή σύγκριση της δυναμικής του ερωτηματολογίου </w:t>
      </w:r>
      <w:r w:rsidRPr="0092736E">
        <w:rPr>
          <w:lang w:val="en-US"/>
        </w:rPr>
        <w:t>Dysphagia</w:t>
      </w:r>
      <w:r w:rsidRPr="00CC4CE4">
        <w:rPr>
          <w:lang w:val="el-GR"/>
        </w:rPr>
        <w:t xml:space="preserve"> </w:t>
      </w:r>
      <w:r w:rsidRPr="0092736E">
        <w:rPr>
          <w:lang w:val="en-US"/>
        </w:rPr>
        <w:t>in</w:t>
      </w:r>
      <w:r w:rsidRPr="00CC4CE4">
        <w:rPr>
          <w:lang w:val="el-GR"/>
        </w:rPr>
        <w:t xml:space="preserve"> </w:t>
      </w:r>
      <w:r w:rsidRPr="0092736E">
        <w:rPr>
          <w:lang w:val="en-US"/>
        </w:rPr>
        <w:t>Head</w:t>
      </w:r>
      <w:r w:rsidRPr="00CC4CE4">
        <w:rPr>
          <w:lang w:val="el-GR"/>
        </w:rPr>
        <w:t xml:space="preserve"> </w:t>
      </w:r>
      <w:r w:rsidRPr="0092736E">
        <w:rPr>
          <w:lang w:val="en-US"/>
        </w:rPr>
        <w:t>and</w:t>
      </w:r>
      <w:r w:rsidRPr="00CC4CE4">
        <w:rPr>
          <w:lang w:val="el-GR"/>
        </w:rPr>
        <w:t xml:space="preserve"> </w:t>
      </w:r>
      <w:r w:rsidRPr="0092736E">
        <w:rPr>
          <w:lang w:val="en-US"/>
        </w:rPr>
        <w:t>Neck</w:t>
      </w:r>
      <w:r w:rsidRPr="00CC4CE4">
        <w:rPr>
          <w:lang w:val="el-GR"/>
        </w:rPr>
        <w:t xml:space="preserve"> </w:t>
      </w:r>
      <w:r w:rsidRPr="0092736E">
        <w:rPr>
          <w:lang w:val="en-US"/>
        </w:rPr>
        <w:t>Cancer</w:t>
      </w:r>
      <w:r w:rsidRPr="00CC4CE4">
        <w:rPr>
          <w:lang w:val="el-GR"/>
        </w:rPr>
        <w:t xml:space="preserve"> και με άτομα άλλων παθήσεων, πχ πολλαπλή σκλήρυνση </w:t>
      </w:r>
      <w:r w:rsidR="00720240">
        <w:rPr>
          <w:lang w:val="el-GR"/>
        </w:rPr>
        <w:t xml:space="preserve">κατά </w:t>
      </w:r>
      <w:r w:rsidRPr="00CC4CE4">
        <w:rPr>
          <w:lang w:val="el-GR"/>
        </w:rPr>
        <w:t>πλάκας. Μια επιπλέον πρόταση είναι η στάθμιση του τεστ σε άλλες χώρες και η σύγκρισή των αποτελεσμάτων τους με τα ελληνικά δεδομένα.</w:t>
      </w:r>
    </w:p>
    <w:p w14:paraId="1002AAFD" w14:textId="77777777" w:rsidR="00CC4CE4" w:rsidRPr="00CC4CE4" w:rsidRDefault="00CC4CE4" w:rsidP="00203AC0">
      <w:pPr>
        <w:spacing w:after="120" w:line="360" w:lineRule="auto"/>
        <w:ind w:left="357"/>
        <w:jc w:val="both"/>
        <w:rPr>
          <w:lang w:val="el-GR"/>
        </w:rPr>
      </w:pPr>
      <w:r w:rsidRPr="00CC4CE4">
        <w:rPr>
          <w:lang w:val="el-GR"/>
        </w:rPr>
        <w:t>Ανακεφαλαιώνοντας, πρόκειται για ένα αξιόπιστο ανιχνευτικό εργαλείο, χρήσιμο και απαραίτητο για το οπλοστάσιο ενός κλινικού.</w:t>
      </w:r>
    </w:p>
    <w:p w14:paraId="516677F6" w14:textId="77777777" w:rsidR="00CC4CE4" w:rsidRPr="00CC4CE4" w:rsidRDefault="00CC4CE4" w:rsidP="00203AC0">
      <w:pPr>
        <w:spacing w:after="120" w:line="360" w:lineRule="auto"/>
        <w:rPr>
          <w:lang w:val="el-GR"/>
        </w:rPr>
      </w:pPr>
    </w:p>
    <w:p w14:paraId="63150037" w14:textId="77777777" w:rsidR="002D779E" w:rsidRDefault="002D779E" w:rsidP="00203AC0">
      <w:pPr>
        <w:spacing w:after="120" w:line="360" w:lineRule="auto"/>
        <w:ind w:left="360"/>
        <w:jc w:val="both"/>
        <w:rPr>
          <w:lang w:val="el-GR"/>
        </w:rPr>
      </w:pPr>
    </w:p>
    <w:p w14:paraId="37B634BE" w14:textId="77777777" w:rsidR="00B51515" w:rsidRDefault="00B51515" w:rsidP="00203AC0">
      <w:pPr>
        <w:spacing w:after="120" w:line="360" w:lineRule="auto"/>
        <w:ind w:left="360"/>
        <w:jc w:val="both"/>
        <w:rPr>
          <w:lang w:val="el-GR"/>
        </w:rPr>
      </w:pPr>
    </w:p>
    <w:p w14:paraId="6412330A" w14:textId="77777777" w:rsidR="00B51515" w:rsidRDefault="00B51515" w:rsidP="00203AC0">
      <w:pPr>
        <w:spacing w:after="120" w:line="360" w:lineRule="auto"/>
        <w:ind w:left="360"/>
        <w:jc w:val="both"/>
        <w:rPr>
          <w:lang w:val="el-GR"/>
        </w:rPr>
      </w:pPr>
    </w:p>
    <w:p w14:paraId="293CF48E" w14:textId="77777777" w:rsidR="00B51515" w:rsidRDefault="00B51515" w:rsidP="00203AC0">
      <w:pPr>
        <w:spacing w:after="120" w:line="360" w:lineRule="auto"/>
        <w:ind w:left="360"/>
        <w:jc w:val="both"/>
        <w:rPr>
          <w:lang w:val="el-GR"/>
        </w:rPr>
      </w:pPr>
    </w:p>
    <w:p w14:paraId="227EB0F9" w14:textId="77777777" w:rsidR="00B51515" w:rsidRDefault="00B51515" w:rsidP="00203AC0">
      <w:pPr>
        <w:spacing w:after="120" w:line="360" w:lineRule="auto"/>
        <w:ind w:left="360"/>
        <w:jc w:val="both"/>
        <w:rPr>
          <w:lang w:val="el-GR"/>
        </w:rPr>
      </w:pPr>
    </w:p>
    <w:p w14:paraId="7157FB93" w14:textId="77777777" w:rsidR="00B51515" w:rsidRDefault="00B51515" w:rsidP="00203AC0">
      <w:pPr>
        <w:spacing w:after="120" w:line="360" w:lineRule="auto"/>
        <w:ind w:left="360"/>
        <w:jc w:val="both"/>
        <w:rPr>
          <w:lang w:val="el-GR"/>
        </w:rPr>
      </w:pPr>
    </w:p>
    <w:p w14:paraId="575B1C4E" w14:textId="77777777" w:rsidR="00B51515" w:rsidRDefault="00B51515" w:rsidP="00203AC0">
      <w:pPr>
        <w:spacing w:after="120" w:line="360" w:lineRule="auto"/>
        <w:ind w:left="360"/>
        <w:jc w:val="both"/>
        <w:rPr>
          <w:lang w:val="el-GR"/>
        </w:rPr>
      </w:pPr>
    </w:p>
    <w:p w14:paraId="5D59B75F" w14:textId="77777777" w:rsidR="00B51515" w:rsidRPr="00890AC7" w:rsidRDefault="00563E1A" w:rsidP="00DE400E">
      <w:pPr>
        <w:pStyle w:val="1"/>
        <w:spacing w:before="0" w:after="120" w:line="360" w:lineRule="auto"/>
        <w:rPr>
          <w:rFonts w:cs="Times New Roman"/>
          <w:b w:val="0"/>
          <w:lang w:val="el-GR"/>
        </w:rPr>
      </w:pPr>
      <w:r w:rsidRPr="00DE400E">
        <w:rPr>
          <w:lang w:val="el-GR"/>
        </w:rPr>
        <w:lastRenderedPageBreak/>
        <w:t xml:space="preserve"> </w:t>
      </w:r>
      <w:bookmarkStart w:id="64" w:name="_Toc493324000"/>
      <w:r w:rsidRPr="00890AC7">
        <w:rPr>
          <w:rFonts w:cs="Times New Roman"/>
          <w:lang w:val="el-GR"/>
        </w:rPr>
        <w:t xml:space="preserve">Ελληνική </w:t>
      </w:r>
      <w:r w:rsidR="00B51515" w:rsidRPr="00890AC7">
        <w:rPr>
          <w:rFonts w:cs="Times New Roman"/>
          <w:lang w:val="el-GR"/>
        </w:rPr>
        <w:t>Βιβλιογραφία</w:t>
      </w:r>
      <w:bookmarkEnd w:id="64"/>
      <w:r w:rsidRPr="00890AC7">
        <w:rPr>
          <w:rFonts w:cs="Times New Roman"/>
          <w:lang w:val="el-GR"/>
        </w:rPr>
        <w:t xml:space="preserve"> </w:t>
      </w:r>
    </w:p>
    <w:p w14:paraId="55DCABF3" w14:textId="77777777" w:rsidR="00563E1A" w:rsidRPr="00890AC7" w:rsidRDefault="00563E1A" w:rsidP="00703E29">
      <w:pPr>
        <w:spacing w:after="120" w:line="360" w:lineRule="auto"/>
        <w:ind w:left="709" w:hanging="709"/>
        <w:jc w:val="both"/>
        <w:rPr>
          <w:lang w:val="el-GR"/>
        </w:rPr>
      </w:pPr>
      <w:r w:rsidRPr="00890AC7">
        <w:rPr>
          <w:lang w:val="el-GR"/>
        </w:rPr>
        <w:t xml:space="preserve">Γκούμας, Π. (2012). </w:t>
      </w:r>
      <w:r w:rsidRPr="00890AC7">
        <w:rPr>
          <w:i/>
          <w:lang w:val="el-GR"/>
        </w:rPr>
        <w:t>Μαθήματα ωτορινολαρυγγολογίας</w:t>
      </w:r>
      <w:r w:rsidRPr="00890AC7">
        <w:rPr>
          <w:lang w:val="el-GR"/>
        </w:rPr>
        <w:t xml:space="preserve">. Πάτρα: Εκδόσεις </w:t>
      </w:r>
      <w:r w:rsidRPr="00703E29">
        <w:rPr>
          <w:lang w:val="en-US"/>
        </w:rPr>
        <w:t>GOTSIS</w:t>
      </w:r>
      <w:r w:rsidRPr="00890AC7">
        <w:rPr>
          <w:lang w:val="el-GR"/>
        </w:rPr>
        <w:t>.</w:t>
      </w:r>
    </w:p>
    <w:p w14:paraId="0DBD6D76" w14:textId="77777777" w:rsidR="00563E1A" w:rsidRPr="00890AC7" w:rsidRDefault="00563E1A" w:rsidP="00703E29">
      <w:pPr>
        <w:spacing w:after="120" w:line="360" w:lineRule="auto"/>
        <w:ind w:left="709" w:hanging="709"/>
        <w:jc w:val="both"/>
        <w:rPr>
          <w:lang w:val="el-GR"/>
        </w:rPr>
      </w:pPr>
      <w:proofErr w:type="spellStart"/>
      <w:r w:rsidRPr="00890AC7">
        <w:rPr>
          <w:lang w:val="el-GR"/>
        </w:rPr>
        <w:t>Ζιάβρα</w:t>
      </w:r>
      <w:proofErr w:type="spellEnd"/>
      <w:r w:rsidRPr="00890AC7">
        <w:rPr>
          <w:lang w:val="el-GR"/>
        </w:rPr>
        <w:t xml:space="preserve">, Ν., &amp; Σκεύας, Α. (2009). </w:t>
      </w:r>
      <w:r w:rsidRPr="00890AC7">
        <w:rPr>
          <w:i/>
          <w:lang w:val="el-GR"/>
        </w:rPr>
        <w:t>Ωτορινολαρυγγολογία- Στοιχεία ανατομίας, φυσιολογίας και παθολογίας</w:t>
      </w:r>
      <w:r w:rsidRPr="00890AC7">
        <w:rPr>
          <w:lang w:val="el-GR"/>
        </w:rPr>
        <w:t xml:space="preserve">. Θεσσαλονίκη: </w:t>
      </w:r>
      <w:r w:rsidRPr="00703E29">
        <w:rPr>
          <w:lang w:val="en-US"/>
        </w:rPr>
        <w:t>University</w:t>
      </w:r>
      <w:r w:rsidRPr="00890AC7">
        <w:rPr>
          <w:lang w:val="el-GR"/>
        </w:rPr>
        <w:t xml:space="preserve"> </w:t>
      </w:r>
      <w:r w:rsidRPr="00703E29">
        <w:rPr>
          <w:lang w:val="en-US"/>
        </w:rPr>
        <w:t>Studio</w:t>
      </w:r>
      <w:r w:rsidRPr="00890AC7">
        <w:rPr>
          <w:lang w:val="el-GR"/>
        </w:rPr>
        <w:t xml:space="preserve"> </w:t>
      </w:r>
      <w:r w:rsidRPr="00703E29">
        <w:rPr>
          <w:lang w:val="en-US"/>
        </w:rPr>
        <w:t>Press</w:t>
      </w:r>
      <w:r w:rsidRPr="00890AC7">
        <w:rPr>
          <w:lang w:val="el-GR"/>
        </w:rPr>
        <w:t>.</w:t>
      </w:r>
    </w:p>
    <w:p w14:paraId="371CF5B9" w14:textId="77777777" w:rsidR="00563E1A" w:rsidRPr="00890AC7" w:rsidRDefault="00563E1A" w:rsidP="00703E29">
      <w:pPr>
        <w:spacing w:after="120" w:line="360" w:lineRule="auto"/>
        <w:ind w:left="709" w:hanging="709"/>
        <w:jc w:val="both"/>
        <w:rPr>
          <w:lang w:val="el-GR"/>
        </w:rPr>
      </w:pPr>
      <w:proofErr w:type="spellStart"/>
      <w:r w:rsidRPr="00890AC7">
        <w:rPr>
          <w:lang w:val="el-GR"/>
        </w:rPr>
        <w:t>Καμπανάρου</w:t>
      </w:r>
      <w:proofErr w:type="spellEnd"/>
      <w:r w:rsidRPr="00890AC7">
        <w:rPr>
          <w:lang w:val="el-GR"/>
        </w:rPr>
        <w:t xml:space="preserve">, Μ. (2007). </w:t>
      </w:r>
      <w:r w:rsidRPr="00890AC7">
        <w:rPr>
          <w:i/>
          <w:lang w:val="el-GR"/>
        </w:rPr>
        <w:t>Διαγνωστικά Θέματα Λογοθεραπείας</w:t>
      </w:r>
      <w:r w:rsidRPr="00890AC7">
        <w:rPr>
          <w:lang w:val="el-GR"/>
        </w:rPr>
        <w:t xml:space="preserve">. Αθήνα: Εκδόσεις ΕΛΛΗΝ. </w:t>
      </w:r>
    </w:p>
    <w:p w14:paraId="6D0B9A56" w14:textId="77777777" w:rsidR="00563E1A" w:rsidRPr="00890AC7" w:rsidRDefault="00563E1A" w:rsidP="00703E29">
      <w:pPr>
        <w:spacing w:after="120" w:line="360" w:lineRule="auto"/>
        <w:ind w:left="709" w:hanging="709"/>
        <w:jc w:val="both"/>
        <w:rPr>
          <w:lang w:val="el-GR"/>
        </w:rPr>
      </w:pPr>
      <w:r w:rsidRPr="00890AC7">
        <w:rPr>
          <w:lang w:val="el-GR"/>
        </w:rPr>
        <w:t xml:space="preserve">Μεσσήνης, Λ., &amp; Αντωνιάδης, Γ. (2010). </w:t>
      </w:r>
      <w:r w:rsidRPr="00890AC7">
        <w:rPr>
          <w:i/>
          <w:lang w:val="el-GR"/>
        </w:rPr>
        <w:t>Διαταραχές κατάποσης- Δυσφαγία/ Νευρολογικά στοιχεία &amp; χειρισμός</w:t>
      </w:r>
      <w:r w:rsidRPr="00890AC7">
        <w:rPr>
          <w:lang w:val="el-GR"/>
        </w:rPr>
        <w:t>. Αθήνα: Εκδόσεις ΕΛΛΗΝ.</w:t>
      </w:r>
    </w:p>
    <w:p w14:paraId="712CD72A" w14:textId="77777777" w:rsidR="00563E1A" w:rsidRPr="00890AC7" w:rsidRDefault="00563E1A" w:rsidP="00703E29">
      <w:pPr>
        <w:spacing w:after="120" w:line="360" w:lineRule="auto"/>
        <w:ind w:left="709" w:hanging="709"/>
        <w:jc w:val="both"/>
        <w:rPr>
          <w:lang w:val="el-GR"/>
        </w:rPr>
      </w:pPr>
      <w:r w:rsidRPr="00890AC7">
        <w:rPr>
          <w:lang w:val="el-GR"/>
        </w:rPr>
        <w:t xml:space="preserve">Παντελιάδης, Χρ. Π., &amp; Συρίγου-Παπαβασιλείου, Α. (2002). </w:t>
      </w:r>
      <w:r w:rsidRPr="00890AC7">
        <w:rPr>
          <w:i/>
          <w:lang w:val="el-GR"/>
        </w:rPr>
        <w:t>Εγκεφαλική Παράλυση</w:t>
      </w:r>
      <w:r w:rsidRPr="00890AC7">
        <w:rPr>
          <w:lang w:val="el-GR"/>
        </w:rPr>
        <w:t xml:space="preserve">. Θεσσαλονίκη: Εκδόσεις </w:t>
      </w:r>
      <w:proofErr w:type="spellStart"/>
      <w:r w:rsidRPr="00890AC7">
        <w:rPr>
          <w:lang w:val="el-GR"/>
        </w:rPr>
        <w:t>Γιαχούδη-Γιαπούλη</w:t>
      </w:r>
      <w:proofErr w:type="spellEnd"/>
      <w:r w:rsidRPr="00890AC7">
        <w:rPr>
          <w:lang w:val="el-GR"/>
        </w:rPr>
        <w:t>.</w:t>
      </w:r>
    </w:p>
    <w:p w14:paraId="60476542" w14:textId="77777777" w:rsidR="00563E1A" w:rsidRPr="00890AC7" w:rsidRDefault="00563E1A" w:rsidP="00703E29">
      <w:pPr>
        <w:spacing w:after="120" w:line="360" w:lineRule="auto"/>
        <w:ind w:left="709" w:hanging="709"/>
        <w:jc w:val="both"/>
        <w:rPr>
          <w:lang w:val="el-GR"/>
        </w:rPr>
      </w:pPr>
      <w:r w:rsidRPr="00890AC7">
        <w:rPr>
          <w:lang w:val="el-GR"/>
        </w:rPr>
        <w:t xml:space="preserve">Παπαδοπούλου, Σ. Π. (2014). </w:t>
      </w:r>
      <w:r w:rsidRPr="00890AC7">
        <w:rPr>
          <w:i/>
          <w:lang w:val="el-GR"/>
        </w:rPr>
        <w:t>Δυσφαγία και διαταραχές αυχενικής μοίρας, σπονδυλικής στήλης σε ασθενείς με νευρολογικά ελλείματα εγκεφαλικής αιτιολογίας</w:t>
      </w:r>
      <w:r w:rsidRPr="00890AC7">
        <w:rPr>
          <w:lang w:val="el-GR"/>
        </w:rPr>
        <w:t xml:space="preserve">. (Διδακτορική διατριβή). Ιωάννινα: Πανεπιστήμιο Ιωαννίνων. </w:t>
      </w:r>
    </w:p>
    <w:p w14:paraId="2E0490AF" w14:textId="77777777" w:rsidR="00563E1A" w:rsidRPr="00890AC7" w:rsidRDefault="00563E1A" w:rsidP="00703E29">
      <w:pPr>
        <w:spacing w:after="120" w:line="360" w:lineRule="auto"/>
        <w:ind w:left="709" w:hanging="709"/>
        <w:jc w:val="both"/>
        <w:rPr>
          <w:lang w:val="el-GR"/>
        </w:rPr>
      </w:pPr>
      <w:proofErr w:type="spellStart"/>
      <w:r w:rsidRPr="00890AC7">
        <w:rPr>
          <w:lang w:val="el-GR"/>
        </w:rPr>
        <w:lastRenderedPageBreak/>
        <w:t>Πλατή</w:t>
      </w:r>
      <w:proofErr w:type="spellEnd"/>
      <w:r w:rsidRPr="00890AC7">
        <w:rPr>
          <w:lang w:val="el-GR"/>
        </w:rPr>
        <w:t xml:space="preserve">, Χρ. Δ. (2000). </w:t>
      </w:r>
      <w:r w:rsidRPr="00890AC7">
        <w:rPr>
          <w:i/>
          <w:lang w:val="el-GR"/>
        </w:rPr>
        <w:t>Γεροντολογική Νοσηλευτική</w:t>
      </w:r>
      <w:r w:rsidRPr="00890AC7">
        <w:rPr>
          <w:lang w:val="el-GR"/>
        </w:rPr>
        <w:t xml:space="preserve">. Αθήνα: Ιδιωτική Έκδοση, Ιατρικές Εκδόσεις Γιάννης Β. </w:t>
      </w:r>
      <w:proofErr w:type="spellStart"/>
      <w:r w:rsidRPr="00890AC7">
        <w:rPr>
          <w:lang w:val="el-GR"/>
        </w:rPr>
        <w:t>Παρισιάνος</w:t>
      </w:r>
      <w:proofErr w:type="spellEnd"/>
      <w:r w:rsidRPr="00890AC7">
        <w:rPr>
          <w:lang w:val="el-GR"/>
        </w:rPr>
        <w:t xml:space="preserve">. </w:t>
      </w:r>
    </w:p>
    <w:p w14:paraId="002F5F26" w14:textId="77777777" w:rsidR="00563E1A" w:rsidRPr="00890AC7" w:rsidRDefault="00563E1A" w:rsidP="00703E29">
      <w:pPr>
        <w:spacing w:after="120" w:line="360" w:lineRule="auto"/>
        <w:ind w:left="709" w:hanging="709"/>
        <w:jc w:val="both"/>
        <w:rPr>
          <w:lang w:val="el-GR"/>
        </w:rPr>
      </w:pPr>
      <w:proofErr w:type="spellStart"/>
      <w:r w:rsidRPr="00890AC7">
        <w:rPr>
          <w:lang w:val="el-GR"/>
        </w:rPr>
        <w:t>Πρώιου</w:t>
      </w:r>
      <w:proofErr w:type="spellEnd"/>
      <w:r w:rsidRPr="00890AC7">
        <w:rPr>
          <w:lang w:val="el-GR"/>
        </w:rPr>
        <w:t xml:space="preserve">, Χ. (2003). </w:t>
      </w:r>
      <w:r w:rsidRPr="00890AC7">
        <w:rPr>
          <w:i/>
          <w:lang w:val="el-GR"/>
        </w:rPr>
        <w:t xml:space="preserve">Δυσφαγία, </w:t>
      </w:r>
      <w:proofErr w:type="spellStart"/>
      <w:r w:rsidRPr="00890AC7">
        <w:rPr>
          <w:i/>
          <w:lang w:val="el-GR"/>
        </w:rPr>
        <w:t>Δυσφασία</w:t>
      </w:r>
      <w:proofErr w:type="spellEnd"/>
      <w:r w:rsidRPr="00890AC7">
        <w:rPr>
          <w:i/>
          <w:lang w:val="el-GR"/>
        </w:rPr>
        <w:t>, Δυσαρθρία για την μελέτη των διαταραχών της κατάποσης, του λόγου και της ομιλίας</w:t>
      </w:r>
      <w:r w:rsidRPr="00890AC7">
        <w:rPr>
          <w:lang w:val="el-GR"/>
        </w:rPr>
        <w:t>. Θεσσαλονίκη: Εκδόσεις ΓΙΑΠΟΥΛΗ.</w:t>
      </w:r>
    </w:p>
    <w:p w14:paraId="3461D28D" w14:textId="77777777" w:rsidR="00563E1A" w:rsidRPr="00890AC7" w:rsidRDefault="00563E1A" w:rsidP="00703E29">
      <w:pPr>
        <w:spacing w:after="120" w:line="360" w:lineRule="auto"/>
        <w:ind w:left="709" w:hanging="709"/>
        <w:jc w:val="both"/>
        <w:rPr>
          <w:lang w:val="el-GR"/>
        </w:rPr>
      </w:pPr>
      <w:r w:rsidRPr="00703E29">
        <w:rPr>
          <w:lang w:val="en-US"/>
        </w:rPr>
        <w:t>Ballenger</w:t>
      </w:r>
      <w:r w:rsidRPr="00890AC7">
        <w:rPr>
          <w:lang w:val="el-GR"/>
        </w:rPr>
        <w:t xml:space="preserve">, </w:t>
      </w:r>
      <w:r w:rsidRPr="00703E29">
        <w:rPr>
          <w:lang w:val="en-US"/>
        </w:rPr>
        <w:t>J</w:t>
      </w:r>
      <w:r w:rsidRPr="00890AC7">
        <w:rPr>
          <w:lang w:val="el-GR"/>
        </w:rPr>
        <w:t xml:space="preserve">. </w:t>
      </w:r>
      <w:r w:rsidRPr="00703E29">
        <w:rPr>
          <w:lang w:val="en-US"/>
        </w:rPr>
        <w:t>J</w:t>
      </w:r>
      <w:r w:rsidRPr="00890AC7">
        <w:rPr>
          <w:lang w:val="el-GR"/>
        </w:rPr>
        <w:t xml:space="preserve">., &amp; </w:t>
      </w:r>
      <w:r w:rsidRPr="00703E29">
        <w:rPr>
          <w:lang w:val="en-US"/>
        </w:rPr>
        <w:t>Snow</w:t>
      </w:r>
      <w:r w:rsidRPr="00890AC7">
        <w:rPr>
          <w:lang w:val="el-GR"/>
        </w:rPr>
        <w:t xml:space="preserve">, </w:t>
      </w:r>
      <w:r w:rsidRPr="00703E29">
        <w:rPr>
          <w:lang w:val="en-US"/>
        </w:rPr>
        <w:t>J</w:t>
      </w:r>
      <w:r w:rsidRPr="00890AC7">
        <w:rPr>
          <w:lang w:val="el-GR"/>
        </w:rPr>
        <w:t xml:space="preserve">. </w:t>
      </w:r>
      <w:r w:rsidRPr="00703E29">
        <w:rPr>
          <w:lang w:val="en-US"/>
        </w:rPr>
        <w:t>B</w:t>
      </w:r>
      <w:r w:rsidRPr="00890AC7">
        <w:rPr>
          <w:lang w:val="el-GR"/>
        </w:rPr>
        <w:t xml:space="preserve">. </w:t>
      </w:r>
      <w:r w:rsidRPr="00703E29">
        <w:rPr>
          <w:lang w:val="en-US"/>
        </w:rPr>
        <w:t>Jr</w:t>
      </w:r>
      <w:r w:rsidRPr="00890AC7">
        <w:rPr>
          <w:lang w:val="el-GR"/>
        </w:rPr>
        <w:t xml:space="preserve">. </w:t>
      </w:r>
      <w:r w:rsidRPr="00347D21">
        <w:rPr>
          <w:lang w:val="el-GR"/>
        </w:rPr>
        <w:t xml:space="preserve">(1998). </w:t>
      </w:r>
      <w:r w:rsidRPr="00890AC7">
        <w:rPr>
          <w:i/>
          <w:lang w:val="el-GR"/>
        </w:rPr>
        <w:t>Ωτορινολαρυγγολογία- Χειρουργική Κεφαλής και Τραχήλου</w:t>
      </w:r>
      <w:r w:rsidRPr="00890AC7">
        <w:rPr>
          <w:lang w:val="el-GR"/>
        </w:rPr>
        <w:t>. Αθήνα: Ιατρικές Εκδόσεις Π. Χ. Πασχαλίδης.</w:t>
      </w:r>
    </w:p>
    <w:p w14:paraId="27D74956" w14:textId="77777777" w:rsidR="00563E1A" w:rsidRPr="00703E29" w:rsidRDefault="00563E1A" w:rsidP="00703E29">
      <w:pPr>
        <w:spacing w:after="120" w:line="360" w:lineRule="auto"/>
        <w:ind w:left="709" w:hanging="709"/>
        <w:jc w:val="both"/>
      </w:pPr>
      <w:proofErr w:type="spellStart"/>
      <w:r w:rsidRPr="00703E29">
        <w:rPr>
          <w:lang w:val="en-US"/>
        </w:rPr>
        <w:t>Bigenzahn</w:t>
      </w:r>
      <w:proofErr w:type="spellEnd"/>
      <w:r w:rsidRPr="00890AC7">
        <w:rPr>
          <w:lang w:val="el-GR"/>
        </w:rPr>
        <w:t xml:space="preserve">, </w:t>
      </w:r>
      <w:r w:rsidRPr="00703E29">
        <w:rPr>
          <w:lang w:val="en-US"/>
        </w:rPr>
        <w:t>W</w:t>
      </w:r>
      <w:r w:rsidRPr="00890AC7">
        <w:rPr>
          <w:lang w:val="el-GR"/>
        </w:rPr>
        <w:t xml:space="preserve">., &amp; </w:t>
      </w:r>
      <w:proofErr w:type="spellStart"/>
      <w:r w:rsidRPr="00703E29">
        <w:rPr>
          <w:lang w:val="en-US"/>
        </w:rPr>
        <w:t>Denk</w:t>
      </w:r>
      <w:proofErr w:type="spellEnd"/>
      <w:r w:rsidRPr="00890AC7">
        <w:rPr>
          <w:lang w:val="el-GR"/>
        </w:rPr>
        <w:t xml:space="preserve">, </w:t>
      </w:r>
      <w:r w:rsidRPr="00703E29">
        <w:rPr>
          <w:lang w:val="en-US"/>
        </w:rPr>
        <w:t>D</w:t>
      </w:r>
      <w:r w:rsidRPr="00890AC7">
        <w:rPr>
          <w:lang w:val="el-GR"/>
        </w:rPr>
        <w:t xml:space="preserve">. </w:t>
      </w:r>
      <w:r w:rsidRPr="00703E29">
        <w:rPr>
          <w:lang w:val="en-US"/>
        </w:rPr>
        <w:t>M</w:t>
      </w:r>
      <w:r w:rsidRPr="00890AC7">
        <w:rPr>
          <w:lang w:val="el-GR"/>
        </w:rPr>
        <w:t xml:space="preserve">. (2007). </w:t>
      </w:r>
      <w:proofErr w:type="spellStart"/>
      <w:r w:rsidRPr="00890AC7">
        <w:rPr>
          <w:i/>
          <w:lang w:val="el-GR"/>
        </w:rPr>
        <w:t>Στοματοφαρυγγικές</w:t>
      </w:r>
      <w:proofErr w:type="spellEnd"/>
      <w:r w:rsidRPr="00890AC7">
        <w:rPr>
          <w:i/>
          <w:lang w:val="el-GR"/>
        </w:rPr>
        <w:t xml:space="preserve"> Δυσφαγίες/ Αιτιολογία, Κλινική εικόνα και θεραπεία διαταραχών κατάποσης</w:t>
      </w:r>
      <w:r w:rsidRPr="00890AC7">
        <w:rPr>
          <w:lang w:val="el-GR"/>
        </w:rPr>
        <w:t xml:space="preserve">. </w:t>
      </w:r>
      <w:proofErr w:type="spellStart"/>
      <w:r w:rsidRPr="00703E29">
        <w:t>Κύ</w:t>
      </w:r>
      <w:proofErr w:type="spellEnd"/>
      <w:r w:rsidRPr="00703E29">
        <w:t xml:space="preserve">προς: </w:t>
      </w:r>
      <w:r w:rsidRPr="00703E29">
        <w:rPr>
          <w:lang w:val="en-US"/>
        </w:rPr>
        <w:t>Broken</w:t>
      </w:r>
      <w:r w:rsidRPr="00703E29">
        <w:t xml:space="preserve"> </w:t>
      </w:r>
      <w:r w:rsidRPr="00703E29">
        <w:rPr>
          <w:lang w:val="en-US"/>
        </w:rPr>
        <w:t>Hill</w:t>
      </w:r>
      <w:r w:rsidRPr="00703E29">
        <w:t xml:space="preserve"> </w:t>
      </w:r>
      <w:r w:rsidRPr="00703E29">
        <w:rPr>
          <w:lang w:val="en-US"/>
        </w:rPr>
        <w:t>Publishers</w:t>
      </w:r>
      <w:r w:rsidRPr="00703E29">
        <w:t xml:space="preserve"> </w:t>
      </w:r>
      <w:r w:rsidRPr="00703E29">
        <w:rPr>
          <w:lang w:val="en-US"/>
        </w:rPr>
        <w:t>LTD</w:t>
      </w:r>
      <w:r w:rsidRPr="00703E29">
        <w:t xml:space="preserve">- </w:t>
      </w:r>
      <w:proofErr w:type="spellStart"/>
      <w:r w:rsidRPr="00703E29">
        <w:t>Εκδόσεις</w:t>
      </w:r>
      <w:proofErr w:type="spellEnd"/>
      <w:r w:rsidRPr="00703E29">
        <w:t xml:space="preserve"> Π. Χ. Πα</w:t>
      </w:r>
      <w:proofErr w:type="spellStart"/>
      <w:r w:rsidRPr="00703E29">
        <w:t>σχ</w:t>
      </w:r>
      <w:proofErr w:type="spellEnd"/>
      <w:r w:rsidRPr="00703E29">
        <w:t>αλίδης.</w:t>
      </w:r>
    </w:p>
    <w:p w14:paraId="09252F81" w14:textId="77777777" w:rsidR="00563E1A" w:rsidRPr="00890AC7" w:rsidRDefault="00563E1A" w:rsidP="00703E29">
      <w:pPr>
        <w:spacing w:after="120" w:line="360" w:lineRule="auto"/>
        <w:ind w:left="709" w:hanging="709"/>
        <w:jc w:val="both"/>
        <w:rPr>
          <w:lang w:val="el-GR"/>
        </w:rPr>
      </w:pPr>
      <w:r w:rsidRPr="00703E29">
        <w:rPr>
          <w:lang w:val="en-US"/>
        </w:rPr>
        <w:t>Butcher</w:t>
      </w:r>
      <w:r w:rsidRPr="00703E29">
        <w:t xml:space="preserve">, </w:t>
      </w:r>
      <w:r w:rsidRPr="00703E29">
        <w:rPr>
          <w:lang w:val="en-US"/>
        </w:rPr>
        <w:t>Gr</w:t>
      </w:r>
      <w:r w:rsidRPr="00703E29">
        <w:t xml:space="preserve">. </w:t>
      </w:r>
      <w:r w:rsidRPr="00703E29">
        <w:rPr>
          <w:lang w:val="en-US"/>
        </w:rPr>
        <w:t>P</w:t>
      </w:r>
      <w:r w:rsidRPr="00703E29">
        <w:t xml:space="preserve">. (2008). </w:t>
      </w:r>
      <w:r w:rsidRPr="00890AC7">
        <w:rPr>
          <w:i/>
          <w:lang w:val="el-GR"/>
        </w:rPr>
        <w:t>Γαστρεντερολογία</w:t>
      </w:r>
      <w:r w:rsidRPr="00890AC7">
        <w:rPr>
          <w:lang w:val="el-GR"/>
        </w:rPr>
        <w:t xml:space="preserve">. Αθήνα: Επιστημονικές Εκδόσεις </w:t>
      </w:r>
      <w:proofErr w:type="spellStart"/>
      <w:r w:rsidRPr="00890AC7">
        <w:rPr>
          <w:lang w:val="el-GR"/>
        </w:rPr>
        <w:t>Παρισιανού</w:t>
      </w:r>
      <w:proofErr w:type="spellEnd"/>
      <w:r w:rsidRPr="00890AC7">
        <w:rPr>
          <w:lang w:val="el-GR"/>
        </w:rPr>
        <w:t xml:space="preserve"> Α.Ε. </w:t>
      </w:r>
    </w:p>
    <w:p w14:paraId="729C115F" w14:textId="77777777" w:rsidR="00563E1A" w:rsidRPr="00890AC7" w:rsidRDefault="00563E1A" w:rsidP="00703E29">
      <w:pPr>
        <w:spacing w:after="120" w:line="360" w:lineRule="auto"/>
        <w:ind w:left="709" w:hanging="709"/>
        <w:jc w:val="both"/>
        <w:rPr>
          <w:lang w:val="el-GR"/>
        </w:rPr>
      </w:pPr>
      <w:proofErr w:type="spellStart"/>
      <w:r w:rsidRPr="00703E29">
        <w:rPr>
          <w:lang w:val="en-US"/>
        </w:rPr>
        <w:t>Groher</w:t>
      </w:r>
      <w:proofErr w:type="spellEnd"/>
      <w:r w:rsidRPr="00703E29">
        <w:rPr>
          <w:lang w:val="en-US"/>
        </w:rPr>
        <w:t xml:space="preserve">, M. E., &amp; </w:t>
      </w:r>
      <w:proofErr w:type="spellStart"/>
      <w:r w:rsidRPr="00703E29">
        <w:rPr>
          <w:lang w:val="en-US"/>
        </w:rPr>
        <w:t>Crary</w:t>
      </w:r>
      <w:proofErr w:type="spellEnd"/>
      <w:r w:rsidRPr="00703E29">
        <w:rPr>
          <w:lang w:val="en-US"/>
        </w:rPr>
        <w:t xml:space="preserve">, M. A. (2015). </w:t>
      </w:r>
      <w:r w:rsidRPr="00890AC7">
        <w:rPr>
          <w:i/>
          <w:lang w:val="el-GR"/>
        </w:rPr>
        <w:t>Δυσφαγία: Κλινική αντιμετώπιση σε ενήλικες και παιδιά</w:t>
      </w:r>
      <w:r w:rsidRPr="00890AC7">
        <w:rPr>
          <w:lang w:val="el-GR"/>
        </w:rPr>
        <w:t xml:space="preserve">. Αθήνα: Εκδόσεις </w:t>
      </w:r>
      <w:proofErr w:type="spellStart"/>
      <w:r w:rsidRPr="00890AC7">
        <w:rPr>
          <w:lang w:val="el-GR"/>
        </w:rPr>
        <w:t>Παρισιανού</w:t>
      </w:r>
      <w:proofErr w:type="spellEnd"/>
      <w:r w:rsidRPr="00890AC7">
        <w:rPr>
          <w:lang w:val="el-GR"/>
        </w:rPr>
        <w:t xml:space="preserve"> Α.Ε. </w:t>
      </w:r>
    </w:p>
    <w:p w14:paraId="68535B7A" w14:textId="77777777" w:rsidR="00563E1A" w:rsidRPr="00890AC7" w:rsidRDefault="00563E1A" w:rsidP="00703E29">
      <w:pPr>
        <w:spacing w:after="120" w:line="360" w:lineRule="auto"/>
        <w:ind w:left="709" w:hanging="709"/>
        <w:jc w:val="both"/>
        <w:rPr>
          <w:lang w:val="el-GR"/>
        </w:rPr>
      </w:pPr>
      <w:proofErr w:type="spellStart"/>
      <w:r w:rsidRPr="00703E29">
        <w:rPr>
          <w:lang w:val="en-US"/>
        </w:rPr>
        <w:lastRenderedPageBreak/>
        <w:t>Kummer</w:t>
      </w:r>
      <w:proofErr w:type="spellEnd"/>
      <w:r w:rsidRPr="00890AC7">
        <w:rPr>
          <w:lang w:val="el-GR"/>
        </w:rPr>
        <w:t xml:space="preserve">, </w:t>
      </w:r>
      <w:r w:rsidRPr="00703E29">
        <w:rPr>
          <w:lang w:val="en-US"/>
        </w:rPr>
        <w:t>A</w:t>
      </w:r>
      <w:r w:rsidRPr="00890AC7">
        <w:rPr>
          <w:lang w:val="el-GR"/>
        </w:rPr>
        <w:t xml:space="preserve">. </w:t>
      </w:r>
      <w:r w:rsidRPr="00703E29">
        <w:rPr>
          <w:lang w:val="en-US"/>
        </w:rPr>
        <w:t>W</w:t>
      </w:r>
      <w:r w:rsidRPr="00890AC7">
        <w:rPr>
          <w:lang w:val="el-GR"/>
        </w:rPr>
        <w:t xml:space="preserve">. (2011). </w:t>
      </w:r>
      <w:proofErr w:type="spellStart"/>
      <w:r w:rsidRPr="00890AC7">
        <w:rPr>
          <w:i/>
          <w:lang w:val="el-GR"/>
        </w:rPr>
        <w:t>Σχιστίες</w:t>
      </w:r>
      <w:proofErr w:type="spellEnd"/>
      <w:r w:rsidRPr="00890AC7">
        <w:rPr>
          <w:i/>
          <w:lang w:val="el-GR"/>
        </w:rPr>
        <w:t xml:space="preserve"> και </w:t>
      </w:r>
      <w:proofErr w:type="spellStart"/>
      <w:r w:rsidRPr="00890AC7">
        <w:rPr>
          <w:i/>
          <w:lang w:val="el-GR"/>
        </w:rPr>
        <w:t>Κρανιοπροσωπικές</w:t>
      </w:r>
      <w:proofErr w:type="spellEnd"/>
      <w:r w:rsidRPr="00890AC7">
        <w:rPr>
          <w:i/>
          <w:lang w:val="el-GR"/>
        </w:rPr>
        <w:t xml:space="preserve"> Ανωμαλίες- Επιπτώσεις στην ομιλία και την αντήχηση</w:t>
      </w:r>
      <w:r w:rsidRPr="00890AC7">
        <w:rPr>
          <w:lang w:val="el-GR"/>
        </w:rPr>
        <w:t>. Αθήνα: Εκδόσεις Π.Χ. Πασχαλίδης.</w:t>
      </w:r>
    </w:p>
    <w:p w14:paraId="60E93BCC" w14:textId="77777777" w:rsidR="00563E1A" w:rsidRPr="00890AC7" w:rsidRDefault="00563E1A" w:rsidP="00703E29">
      <w:pPr>
        <w:spacing w:after="120" w:line="360" w:lineRule="auto"/>
        <w:ind w:left="709" w:hanging="709"/>
        <w:jc w:val="both"/>
        <w:rPr>
          <w:lang w:val="el-GR"/>
        </w:rPr>
      </w:pPr>
      <w:r w:rsidRPr="00703E29">
        <w:rPr>
          <w:lang w:val="en-US"/>
        </w:rPr>
        <w:t>Landis</w:t>
      </w:r>
      <w:r w:rsidRPr="009C79EA">
        <w:rPr>
          <w:lang w:val="el-GR"/>
        </w:rPr>
        <w:t xml:space="preserve">, </w:t>
      </w:r>
      <w:r w:rsidRPr="00703E29">
        <w:rPr>
          <w:lang w:val="en-US"/>
        </w:rPr>
        <w:t>K</w:t>
      </w:r>
      <w:r w:rsidRPr="009C79EA">
        <w:rPr>
          <w:lang w:val="el-GR"/>
        </w:rPr>
        <w:t xml:space="preserve">., </w:t>
      </w:r>
      <w:r w:rsidRPr="00703E29">
        <w:rPr>
          <w:lang w:val="en-US"/>
        </w:rPr>
        <w:t>Vander</w:t>
      </w:r>
      <w:r w:rsidRPr="009C79EA">
        <w:rPr>
          <w:lang w:val="el-GR"/>
        </w:rPr>
        <w:t xml:space="preserve"> </w:t>
      </w:r>
      <w:proofErr w:type="spellStart"/>
      <w:r w:rsidRPr="00703E29">
        <w:rPr>
          <w:lang w:val="en-US"/>
        </w:rPr>
        <w:t>Woude</w:t>
      </w:r>
      <w:proofErr w:type="spellEnd"/>
      <w:r w:rsidRPr="009C79EA">
        <w:rPr>
          <w:lang w:val="el-GR"/>
        </w:rPr>
        <w:t xml:space="preserve">, </w:t>
      </w:r>
      <w:r w:rsidRPr="00703E29">
        <w:rPr>
          <w:lang w:val="en-US"/>
        </w:rPr>
        <w:t>J</w:t>
      </w:r>
      <w:r w:rsidRPr="009C79EA">
        <w:rPr>
          <w:lang w:val="el-GR"/>
        </w:rPr>
        <w:t xml:space="preserve">., &amp; </w:t>
      </w:r>
      <w:proofErr w:type="spellStart"/>
      <w:r w:rsidRPr="00703E29">
        <w:rPr>
          <w:lang w:val="en-US"/>
        </w:rPr>
        <w:t>Jongsma</w:t>
      </w:r>
      <w:proofErr w:type="spellEnd"/>
      <w:r w:rsidRPr="009C79EA">
        <w:rPr>
          <w:lang w:val="el-GR"/>
        </w:rPr>
        <w:t xml:space="preserve">, </w:t>
      </w:r>
      <w:r w:rsidRPr="00703E29">
        <w:rPr>
          <w:lang w:val="en-US"/>
        </w:rPr>
        <w:t>A</w:t>
      </w:r>
      <w:r w:rsidRPr="009C79EA">
        <w:rPr>
          <w:lang w:val="el-GR"/>
        </w:rPr>
        <w:t xml:space="preserve">. </w:t>
      </w:r>
      <w:r w:rsidRPr="00703E29">
        <w:rPr>
          <w:lang w:val="en-US"/>
        </w:rPr>
        <w:t>E</w:t>
      </w:r>
      <w:r w:rsidRPr="009C79EA">
        <w:rPr>
          <w:lang w:val="el-GR"/>
        </w:rPr>
        <w:t xml:space="preserve">. </w:t>
      </w:r>
      <w:r w:rsidRPr="00703E29">
        <w:rPr>
          <w:lang w:val="en-US"/>
        </w:rPr>
        <w:t>Jr</w:t>
      </w:r>
      <w:r w:rsidRPr="009C79EA">
        <w:rPr>
          <w:lang w:val="el-GR"/>
        </w:rPr>
        <w:t xml:space="preserve">. </w:t>
      </w:r>
      <w:r w:rsidRPr="00347D21">
        <w:rPr>
          <w:lang w:val="el-GR"/>
        </w:rPr>
        <w:t xml:space="preserve">(2012). </w:t>
      </w:r>
      <w:r w:rsidRPr="00890AC7">
        <w:rPr>
          <w:i/>
          <w:lang w:val="el-GR"/>
        </w:rPr>
        <w:t>Οδηγός σχεδιασμού λογοθεραπευτικής παρέμβασης</w:t>
      </w:r>
      <w:r w:rsidRPr="00890AC7">
        <w:rPr>
          <w:lang w:val="el-GR"/>
        </w:rPr>
        <w:t>. Θεσσαλονίκη: Εκδόσεις Ρόδων.</w:t>
      </w:r>
    </w:p>
    <w:p w14:paraId="6EA7F133" w14:textId="77777777" w:rsidR="00563E1A" w:rsidRPr="00890AC7" w:rsidRDefault="00563E1A" w:rsidP="00703E29">
      <w:pPr>
        <w:spacing w:after="120" w:line="360" w:lineRule="auto"/>
        <w:ind w:left="709" w:hanging="709"/>
        <w:jc w:val="both"/>
        <w:rPr>
          <w:lang w:val="el-GR"/>
        </w:rPr>
      </w:pPr>
      <w:r w:rsidRPr="00703E29">
        <w:rPr>
          <w:lang w:val="en-US"/>
        </w:rPr>
        <w:t xml:space="preserve">Martyn, C. N., &amp; Gale, C. R. (2007). </w:t>
      </w:r>
      <w:r w:rsidRPr="00890AC7">
        <w:rPr>
          <w:i/>
          <w:lang w:val="el-GR"/>
        </w:rPr>
        <w:t>Διαταραχές της μνήμης και την άνοια</w:t>
      </w:r>
      <w:r w:rsidRPr="00890AC7">
        <w:rPr>
          <w:lang w:val="el-GR"/>
        </w:rPr>
        <w:t>. Αθήνα: Ιατρικές Εκδόσεις Π. Χ. Πασχαλίδης.</w:t>
      </w:r>
    </w:p>
    <w:p w14:paraId="3BDD278A" w14:textId="77777777" w:rsidR="00563E1A" w:rsidRPr="00890AC7" w:rsidRDefault="00563E1A" w:rsidP="00703E29">
      <w:pPr>
        <w:spacing w:after="120" w:line="360" w:lineRule="auto"/>
        <w:ind w:left="709" w:hanging="709"/>
        <w:jc w:val="both"/>
        <w:rPr>
          <w:lang w:val="el-GR"/>
        </w:rPr>
      </w:pPr>
      <w:r w:rsidRPr="00703E29">
        <w:rPr>
          <w:lang w:val="en-US"/>
        </w:rPr>
        <w:t>Mc</w:t>
      </w:r>
      <w:r w:rsidRPr="00890AC7">
        <w:rPr>
          <w:lang w:val="el-GR"/>
        </w:rPr>
        <w:t xml:space="preserve"> </w:t>
      </w:r>
      <w:proofErr w:type="spellStart"/>
      <w:r w:rsidRPr="00703E29">
        <w:rPr>
          <w:lang w:val="en-US"/>
        </w:rPr>
        <w:t>Farland</w:t>
      </w:r>
      <w:proofErr w:type="spellEnd"/>
      <w:r w:rsidRPr="00890AC7">
        <w:rPr>
          <w:lang w:val="el-GR"/>
        </w:rPr>
        <w:t xml:space="preserve">, </w:t>
      </w:r>
      <w:r w:rsidRPr="00703E29">
        <w:rPr>
          <w:lang w:val="en-US"/>
        </w:rPr>
        <w:t>D</w:t>
      </w:r>
      <w:r w:rsidRPr="00890AC7">
        <w:rPr>
          <w:lang w:val="el-GR"/>
        </w:rPr>
        <w:t>.</w:t>
      </w:r>
      <w:r w:rsidRPr="00703E29">
        <w:rPr>
          <w:lang w:val="en-US"/>
        </w:rPr>
        <w:t>H</w:t>
      </w:r>
      <w:r w:rsidRPr="00890AC7">
        <w:rPr>
          <w:lang w:val="el-GR"/>
        </w:rPr>
        <w:t>. (2011). Εικονογραφημένο εγχειρίδιο ανατομίας, λόγου, κατάποσης &amp; ακοής. Αθήνα: Εκδόσεις Π.Χ Πασχαλίδης.</w:t>
      </w:r>
    </w:p>
    <w:p w14:paraId="2E42B645" w14:textId="77777777" w:rsidR="00563E1A" w:rsidRPr="00890AC7" w:rsidRDefault="00563E1A" w:rsidP="00703E29">
      <w:pPr>
        <w:spacing w:after="120" w:line="360" w:lineRule="auto"/>
        <w:ind w:left="709" w:hanging="709"/>
        <w:jc w:val="both"/>
        <w:rPr>
          <w:lang w:val="el-GR"/>
        </w:rPr>
      </w:pPr>
      <w:r w:rsidRPr="00703E29">
        <w:rPr>
          <w:lang w:val="en-US"/>
        </w:rPr>
        <w:t>Murry</w:t>
      </w:r>
      <w:r w:rsidRPr="00890AC7">
        <w:rPr>
          <w:lang w:val="el-GR"/>
        </w:rPr>
        <w:t xml:space="preserve">, </w:t>
      </w:r>
      <w:r w:rsidRPr="00703E29">
        <w:rPr>
          <w:lang w:val="en-US"/>
        </w:rPr>
        <w:t>T</w:t>
      </w:r>
      <w:r w:rsidRPr="00890AC7">
        <w:rPr>
          <w:lang w:val="el-GR"/>
        </w:rPr>
        <w:t xml:space="preserve">., &amp; </w:t>
      </w:r>
      <w:proofErr w:type="spellStart"/>
      <w:r w:rsidRPr="00703E29">
        <w:rPr>
          <w:lang w:val="en-US"/>
        </w:rPr>
        <w:t>Carrau</w:t>
      </w:r>
      <w:proofErr w:type="spellEnd"/>
      <w:r w:rsidRPr="00890AC7">
        <w:rPr>
          <w:lang w:val="el-GR"/>
        </w:rPr>
        <w:t xml:space="preserve">, </w:t>
      </w:r>
      <w:r w:rsidRPr="00703E29">
        <w:rPr>
          <w:lang w:val="en-US"/>
        </w:rPr>
        <w:t>R</w:t>
      </w:r>
      <w:r w:rsidRPr="00890AC7">
        <w:rPr>
          <w:lang w:val="el-GR"/>
        </w:rPr>
        <w:t>.</w:t>
      </w:r>
      <w:r w:rsidRPr="00703E29">
        <w:rPr>
          <w:lang w:val="en-US"/>
        </w:rPr>
        <w:t>I</w:t>
      </w:r>
      <w:r w:rsidRPr="00890AC7">
        <w:rPr>
          <w:lang w:val="el-GR"/>
        </w:rPr>
        <w:t xml:space="preserve">. (2014). Η κλινική διαχείριση των διαταραχών κατάποσης – Δυσφαγία σε παιδιά και ενήλικες. Πάτρα: </w:t>
      </w:r>
      <w:r w:rsidRPr="00703E29">
        <w:rPr>
          <w:lang w:val="en-US"/>
        </w:rPr>
        <w:t>GOTSIS</w:t>
      </w:r>
      <w:r w:rsidRPr="00890AC7">
        <w:rPr>
          <w:lang w:val="el-GR"/>
        </w:rPr>
        <w:t>.</w:t>
      </w:r>
    </w:p>
    <w:p w14:paraId="50574670" w14:textId="0999D887" w:rsidR="00563E1A" w:rsidRPr="00890AC7" w:rsidRDefault="00563E1A" w:rsidP="00703E29">
      <w:pPr>
        <w:spacing w:after="120" w:line="360" w:lineRule="auto"/>
        <w:ind w:left="709" w:hanging="709"/>
        <w:jc w:val="both"/>
        <w:rPr>
          <w:lang w:val="el-GR"/>
        </w:rPr>
      </w:pPr>
      <w:proofErr w:type="spellStart"/>
      <w:r w:rsidRPr="00703E29">
        <w:rPr>
          <w:lang w:val="en-US"/>
        </w:rPr>
        <w:t>Roseubek</w:t>
      </w:r>
      <w:proofErr w:type="spellEnd"/>
      <w:r w:rsidRPr="00890AC7">
        <w:rPr>
          <w:lang w:val="el-GR"/>
        </w:rPr>
        <w:t xml:space="preserve">, </w:t>
      </w:r>
      <w:r w:rsidRPr="00703E29">
        <w:rPr>
          <w:lang w:val="en-US"/>
        </w:rPr>
        <w:t>I</w:t>
      </w:r>
      <w:r w:rsidRPr="00890AC7">
        <w:rPr>
          <w:lang w:val="el-GR"/>
        </w:rPr>
        <w:t xml:space="preserve">., &amp; </w:t>
      </w:r>
      <w:r w:rsidRPr="00703E29">
        <w:rPr>
          <w:lang w:val="en-US"/>
        </w:rPr>
        <w:t>Jones</w:t>
      </w:r>
      <w:r w:rsidRPr="00890AC7">
        <w:rPr>
          <w:lang w:val="el-GR"/>
        </w:rPr>
        <w:t xml:space="preserve">, </w:t>
      </w:r>
      <w:r w:rsidRPr="00703E29">
        <w:rPr>
          <w:lang w:val="en-US"/>
        </w:rPr>
        <w:t>H</w:t>
      </w:r>
      <w:r w:rsidRPr="00890AC7">
        <w:rPr>
          <w:lang w:val="el-GR"/>
        </w:rPr>
        <w:t xml:space="preserve">. (2015). Δυσφαγία στις </w:t>
      </w:r>
      <w:proofErr w:type="spellStart"/>
      <w:r w:rsidRPr="00890AC7">
        <w:rPr>
          <w:lang w:val="el-GR"/>
        </w:rPr>
        <w:t>νευροκινητικές</w:t>
      </w:r>
      <w:proofErr w:type="spellEnd"/>
      <w:r w:rsidRPr="00890AC7">
        <w:rPr>
          <w:lang w:val="el-GR"/>
        </w:rPr>
        <w:t xml:space="preserve"> διαταραχές. Πάτρα: </w:t>
      </w:r>
      <w:r w:rsidRPr="00703E29">
        <w:rPr>
          <w:lang w:val="en-US"/>
        </w:rPr>
        <w:t>GOTSIS</w:t>
      </w:r>
      <w:r w:rsidRPr="00890AC7">
        <w:rPr>
          <w:lang w:val="el-GR"/>
        </w:rPr>
        <w:t>.</w:t>
      </w:r>
    </w:p>
    <w:p w14:paraId="3F361A91" w14:textId="77777777" w:rsidR="00563E1A" w:rsidRPr="00890AC7" w:rsidRDefault="00563E1A" w:rsidP="00703E29">
      <w:pPr>
        <w:spacing w:after="120" w:line="360" w:lineRule="auto"/>
        <w:ind w:left="709" w:hanging="709"/>
        <w:jc w:val="both"/>
        <w:rPr>
          <w:lang w:val="el-GR"/>
        </w:rPr>
      </w:pPr>
      <w:r w:rsidRPr="00703E29">
        <w:rPr>
          <w:lang w:val="en-US"/>
        </w:rPr>
        <w:t>Rubinstein</w:t>
      </w:r>
      <w:r w:rsidRPr="00890AC7">
        <w:rPr>
          <w:lang w:val="el-GR"/>
        </w:rPr>
        <w:t xml:space="preserve">, </w:t>
      </w:r>
      <w:r w:rsidRPr="00703E29">
        <w:rPr>
          <w:lang w:val="en-US"/>
        </w:rPr>
        <w:t>H</w:t>
      </w:r>
      <w:r w:rsidRPr="00890AC7">
        <w:rPr>
          <w:lang w:val="el-GR"/>
        </w:rPr>
        <w:t xml:space="preserve">. (2000). Η νόσος του </w:t>
      </w:r>
      <w:proofErr w:type="spellStart"/>
      <w:r w:rsidRPr="00890AC7">
        <w:rPr>
          <w:lang w:val="el-GR"/>
        </w:rPr>
        <w:t>Αλτσχάιμερ</w:t>
      </w:r>
      <w:proofErr w:type="spellEnd"/>
      <w:r w:rsidRPr="00890AC7">
        <w:rPr>
          <w:lang w:val="el-GR"/>
        </w:rPr>
        <w:t>. Αθήνα: Εκδόσεις Ελληνικά Γράμματα.</w:t>
      </w:r>
    </w:p>
    <w:p w14:paraId="19A60B63" w14:textId="77777777" w:rsidR="00563E1A" w:rsidRPr="00890AC7" w:rsidRDefault="00563E1A" w:rsidP="00703E29">
      <w:pPr>
        <w:spacing w:after="120" w:line="360" w:lineRule="auto"/>
        <w:ind w:left="709" w:hanging="709"/>
        <w:jc w:val="both"/>
        <w:rPr>
          <w:lang w:val="el-GR"/>
        </w:rPr>
      </w:pPr>
      <w:proofErr w:type="spellStart"/>
      <w:r w:rsidRPr="00703E29">
        <w:rPr>
          <w:lang w:val="en-US"/>
        </w:rPr>
        <w:lastRenderedPageBreak/>
        <w:t>Schindelmeiser</w:t>
      </w:r>
      <w:proofErr w:type="spellEnd"/>
      <w:r w:rsidRPr="00890AC7">
        <w:rPr>
          <w:lang w:val="el-GR"/>
        </w:rPr>
        <w:t xml:space="preserve">, </w:t>
      </w:r>
      <w:r w:rsidRPr="00703E29">
        <w:rPr>
          <w:lang w:val="en-US"/>
        </w:rPr>
        <w:t>J</w:t>
      </w:r>
      <w:r w:rsidRPr="00890AC7">
        <w:rPr>
          <w:lang w:val="el-GR"/>
        </w:rPr>
        <w:t>. (2013). Νευρολογία για λογοθεραπευτές. Θεσσαλονίκη: Εκδόσεις Ρόδων.</w:t>
      </w:r>
    </w:p>
    <w:p w14:paraId="120F9F39" w14:textId="77777777" w:rsidR="00574E91" w:rsidRPr="00890AC7" w:rsidRDefault="00574E91" w:rsidP="00703E29">
      <w:pPr>
        <w:spacing w:after="120" w:line="360" w:lineRule="auto"/>
        <w:ind w:left="709" w:hanging="709"/>
        <w:jc w:val="both"/>
        <w:rPr>
          <w:lang w:val="el-GR"/>
        </w:rPr>
      </w:pPr>
      <w:r w:rsidRPr="00703E29">
        <w:rPr>
          <w:lang w:val="en-US"/>
        </w:rPr>
        <w:t>Shipley</w:t>
      </w:r>
      <w:r w:rsidRPr="00890AC7">
        <w:rPr>
          <w:lang w:val="el-GR"/>
        </w:rPr>
        <w:t xml:space="preserve">, </w:t>
      </w:r>
      <w:r w:rsidRPr="00703E29">
        <w:rPr>
          <w:lang w:val="en-US"/>
        </w:rPr>
        <w:t>K</w:t>
      </w:r>
      <w:r w:rsidRPr="00890AC7">
        <w:rPr>
          <w:lang w:val="el-GR"/>
        </w:rPr>
        <w:t>.</w:t>
      </w:r>
      <w:r w:rsidRPr="00703E29">
        <w:rPr>
          <w:lang w:val="en-US"/>
        </w:rPr>
        <w:t>G</w:t>
      </w:r>
      <w:r w:rsidRPr="00890AC7">
        <w:rPr>
          <w:lang w:val="el-GR"/>
        </w:rPr>
        <w:t xml:space="preserve">., &amp; </w:t>
      </w:r>
      <w:r w:rsidRPr="00703E29">
        <w:rPr>
          <w:lang w:val="en-US"/>
        </w:rPr>
        <w:t>McAfee</w:t>
      </w:r>
      <w:r w:rsidRPr="00890AC7">
        <w:rPr>
          <w:lang w:val="el-GR"/>
        </w:rPr>
        <w:t xml:space="preserve">, </w:t>
      </w:r>
      <w:r w:rsidRPr="00703E29">
        <w:rPr>
          <w:lang w:val="en-US"/>
        </w:rPr>
        <w:t>J</w:t>
      </w:r>
      <w:r w:rsidRPr="00890AC7">
        <w:rPr>
          <w:lang w:val="el-GR"/>
        </w:rPr>
        <w:t>.</w:t>
      </w:r>
      <w:r w:rsidRPr="00703E29">
        <w:rPr>
          <w:lang w:val="en-US"/>
        </w:rPr>
        <w:t>G</w:t>
      </w:r>
      <w:r w:rsidRPr="00890AC7">
        <w:rPr>
          <w:lang w:val="el-GR"/>
        </w:rPr>
        <w:t xml:space="preserve">. (2013). </w:t>
      </w:r>
      <w:r w:rsidRPr="00890AC7">
        <w:rPr>
          <w:i/>
          <w:lang w:val="el-GR"/>
        </w:rPr>
        <w:t>Διαγνωστικές Προσεγγίσεις στη Λογοπαθολογία</w:t>
      </w:r>
      <w:r w:rsidRPr="00890AC7">
        <w:rPr>
          <w:lang w:val="el-GR"/>
        </w:rPr>
        <w:t xml:space="preserve">. Αθήνα: </w:t>
      </w:r>
      <w:r w:rsidRPr="00703E29">
        <w:rPr>
          <w:lang w:val="en-US"/>
        </w:rPr>
        <w:t>GOTSIS</w:t>
      </w:r>
    </w:p>
    <w:p w14:paraId="7C5C0167" w14:textId="77777777" w:rsidR="00563E1A" w:rsidRPr="00890AC7" w:rsidRDefault="00563E1A" w:rsidP="00703E29">
      <w:pPr>
        <w:spacing w:after="120" w:line="360" w:lineRule="auto"/>
        <w:ind w:left="709" w:hanging="709"/>
        <w:jc w:val="both"/>
        <w:rPr>
          <w:lang w:val="el-GR"/>
        </w:rPr>
      </w:pPr>
      <w:proofErr w:type="spellStart"/>
      <w:r w:rsidRPr="00703E29">
        <w:rPr>
          <w:lang w:val="en-US"/>
        </w:rPr>
        <w:t>Turlough</w:t>
      </w:r>
      <w:proofErr w:type="spellEnd"/>
      <w:r w:rsidRPr="00703E29">
        <w:rPr>
          <w:lang w:val="en-US"/>
        </w:rPr>
        <w:t xml:space="preserve"> – Fitz Gerald, </w:t>
      </w:r>
      <w:proofErr w:type="spellStart"/>
      <w:r w:rsidRPr="00703E29">
        <w:rPr>
          <w:lang w:val="en-US"/>
        </w:rPr>
        <w:t>M.Jo</w:t>
      </w:r>
      <w:proofErr w:type="spellEnd"/>
      <w:r w:rsidRPr="00703E29">
        <w:rPr>
          <w:lang w:val="en-US"/>
        </w:rPr>
        <w:t xml:space="preserve">, </w:t>
      </w:r>
      <w:proofErr w:type="spellStart"/>
      <w:r w:rsidRPr="00703E29">
        <w:rPr>
          <w:lang w:val="en-US"/>
        </w:rPr>
        <w:t>Grueuer</w:t>
      </w:r>
      <w:proofErr w:type="spellEnd"/>
      <w:r w:rsidRPr="00703E29">
        <w:rPr>
          <w:lang w:val="en-US"/>
        </w:rPr>
        <w:t xml:space="preserve">, G., &amp; </w:t>
      </w:r>
      <w:proofErr w:type="spellStart"/>
      <w:r w:rsidRPr="00703E29">
        <w:rPr>
          <w:lang w:val="en-US"/>
        </w:rPr>
        <w:t>Mtui</w:t>
      </w:r>
      <w:proofErr w:type="spellEnd"/>
      <w:r w:rsidRPr="00703E29">
        <w:rPr>
          <w:lang w:val="en-US"/>
        </w:rPr>
        <w:t xml:space="preserve">, E. (2009). </w:t>
      </w:r>
      <w:r w:rsidRPr="00890AC7">
        <w:rPr>
          <w:lang w:val="el-GR"/>
        </w:rPr>
        <w:t xml:space="preserve">Κλινική </w:t>
      </w:r>
      <w:proofErr w:type="spellStart"/>
      <w:r w:rsidRPr="00890AC7">
        <w:rPr>
          <w:lang w:val="el-GR"/>
        </w:rPr>
        <w:t>Νευροανατομία</w:t>
      </w:r>
      <w:proofErr w:type="spellEnd"/>
      <w:r w:rsidRPr="00890AC7">
        <w:rPr>
          <w:lang w:val="el-GR"/>
        </w:rPr>
        <w:t xml:space="preserve"> και </w:t>
      </w:r>
      <w:proofErr w:type="spellStart"/>
      <w:r w:rsidRPr="00890AC7">
        <w:rPr>
          <w:lang w:val="el-GR"/>
        </w:rPr>
        <w:t>Νευροεπιστήμες</w:t>
      </w:r>
      <w:proofErr w:type="spellEnd"/>
      <w:r w:rsidRPr="00890AC7">
        <w:rPr>
          <w:lang w:val="el-GR"/>
        </w:rPr>
        <w:t>. Αθήνα: Εκδόσεις Π.Χ Πασχαλίδης.</w:t>
      </w:r>
    </w:p>
    <w:p w14:paraId="70AED95B" w14:textId="5CDCC05A" w:rsidR="00563E1A" w:rsidRPr="00890AC7" w:rsidRDefault="00563E1A" w:rsidP="00703E29">
      <w:pPr>
        <w:spacing w:after="120" w:line="360" w:lineRule="auto"/>
        <w:ind w:left="709" w:hanging="709"/>
        <w:jc w:val="both"/>
        <w:rPr>
          <w:lang w:val="el-GR"/>
        </w:rPr>
      </w:pPr>
      <w:r w:rsidRPr="00703E29">
        <w:rPr>
          <w:lang w:val="en-US"/>
        </w:rPr>
        <w:t xml:space="preserve">Yorkton, K.M., </w:t>
      </w:r>
      <w:proofErr w:type="spellStart"/>
      <w:r w:rsidRPr="00703E29">
        <w:rPr>
          <w:lang w:val="en-US"/>
        </w:rPr>
        <w:t>Beuke</w:t>
      </w:r>
      <w:r w:rsidR="00ED7EFC">
        <w:rPr>
          <w:lang w:val="en-US"/>
        </w:rPr>
        <w:t>lman</w:t>
      </w:r>
      <w:proofErr w:type="spellEnd"/>
      <w:r w:rsidR="00ED7EFC">
        <w:rPr>
          <w:lang w:val="en-US"/>
        </w:rPr>
        <w:t>, P.R., Strand, E.A, &amp; Bell</w:t>
      </w:r>
      <w:r w:rsidRPr="00703E29">
        <w:rPr>
          <w:lang w:val="en-US"/>
        </w:rPr>
        <w:t xml:space="preserve">, K.R (2006). </w:t>
      </w:r>
      <w:r w:rsidRPr="00890AC7">
        <w:rPr>
          <w:lang w:val="el-GR"/>
        </w:rPr>
        <w:t xml:space="preserve">Θεραπευτική Παρέμβαση </w:t>
      </w:r>
      <w:proofErr w:type="spellStart"/>
      <w:r w:rsidRPr="00890AC7">
        <w:rPr>
          <w:lang w:val="el-GR"/>
        </w:rPr>
        <w:t>Νευρογενών</w:t>
      </w:r>
      <w:proofErr w:type="spellEnd"/>
      <w:r w:rsidRPr="00890AC7">
        <w:rPr>
          <w:lang w:val="el-GR"/>
        </w:rPr>
        <w:t xml:space="preserve"> Κινητικών</w:t>
      </w:r>
      <w:r w:rsidR="008F3933">
        <w:rPr>
          <w:lang w:val="el-GR"/>
        </w:rPr>
        <w:t xml:space="preserve"> </w:t>
      </w:r>
      <w:r w:rsidRPr="00890AC7">
        <w:rPr>
          <w:lang w:val="el-GR"/>
        </w:rPr>
        <w:t>Διαταραχών Ομιλίας σε Παιδιά και Ενήλικες. Αθήνα: Εκδόσεις ΕΛΛΗΝ.</w:t>
      </w:r>
    </w:p>
    <w:p w14:paraId="7ED56B85" w14:textId="77777777" w:rsidR="00563E1A" w:rsidRDefault="00563E1A" w:rsidP="00563E1A">
      <w:pPr>
        <w:spacing w:after="120" w:line="360" w:lineRule="auto"/>
        <w:ind w:left="360"/>
        <w:jc w:val="both"/>
        <w:rPr>
          <w:lang w:val="el-GR"/>
        </w:rPr>
      </w:pPr>
    </w:p>
    <w:p w14:paraId="5C8ACA12" w14:textId="77777777" w:rsidR="00563E1A" w:rsidRPr="00890AC7" w:rsidRDefault="00563E1A" w:rsidP="00DE400E">
      <w:pPr>
        <w:pStyle w:val="1"/>
        <w:spacing w:before="0" w:after="120" w:line="360" w:lineRule="auto"/>
        <w:rPr>
          <w:rFonts w:cs="Times New Roman"/>
          <w:b w:val="0"/>
          <w:lang w:val="el-GR"/>
        </w:rPr>
      </w:pPr>
      <w:bookmarkStart w:id="65" w:name="_Toc493324001"/>
      <w:r w:rsidRPr="00890AC7">
        <w:rPr>
          <w:rFonts w:cs="Times New Roman"/>
          <w:lang w:val="el-GR"/>
        </w:rPr>
        <w:t>Ξένη Βιβλιογραφία</w:t>
      </w:r>
      <w:bookmarkEnd w:id="65"/>
      <w:r w:rsidRPr="00890AC7">
        <w:rPr>
          <w:rFonts w:cs="Times New Roman"/>
          <w:lang w:val="el-GR"/>
        </w:rPr>
        <w:t xml:space="preserve"> </w:t>
      </w:r>
    </w:p>
    <w:p w14:paraId="5376FF03" w14:textId="77777777" w:rsidR="00563E1A" w:rsidRPr="00703E29" w:rsidRDefault="00563E1A" w:rsidP="00703E29">
      <w:pPr>
        <w:spacing w:after="120" w:line="360" w:lineRule="auto"/>
        <w:ind w:left="993" w:hanging="993"/>
        <w:jc w:val="both"/>
        <w:rPr>
          <w:lang w:val="en-US"/>
        </w:rPr>
      </w:pPr>
      <w:proofErr w:type="spellStart"/>
      <w:r w:rsidRPr="00703E29">
        <w:rPr>
          <w:lang w:val="en-US"/>
        </w:rPr>
        <w:t>Cichero</w:t>
      </w:r>
      <w:proofErr w:type="spellEnd"/>
      <w:r w:rsidRPr="00890AC7">
        <w:rPr>
          <w:lang w:val="el-GR"/>
        </w:rPr>
        <w:t xml:space="preserve">, </w:t>
      </w:r>
      <w:r w:rsidRPr="00703E29">
        <w:rPr>
          <w:lang w:val="en-US"/>
        </w:rPr>
        <w:t>J</w:t>
      </w:r>
      <w:r w:rsidRPr="00890AC7">
        <w:rPr>
          <w:lang w:val="el-GR"/>
        </w:rPr>
        <w:t xml:space="preserve">., &amp; </w:t>
      </w:r>
      <w:proofErr w:type="spellStart"/>
      <w:r w:rsidRPr="00703E29">
        <w:rPr>
          <w:lang w:val="en-US"/>
        </w:rPr>
        <w:t>Mundoch</w:t>
      </w:r>
      <w:proofErr w:type="spellEnd"/>
      <w:r w:rsidRPr="00890AC7">
        <w:rPr>
          <w:lang w:val="el-GR"/>
        </w:rPr>
        <w:t xml:space="preserve"> , </w:t>
      </w:r>
      <w:r w:rsidRPr="00703E29">
        <w:rPr>
          <w:lang w:val="en-US"/>
        </w:rPr>
        <w:t>B</w:t>
      </w:r>
      <w:r w:rsidRPr="00890AC7">
        <w:rPr>
          <w:lang w:val="el-GR"/>
        </w:rPr>
        <w:t xml:space="preserve">. (2006). </w:t>
      </w:r>
      <w:r w:rsidRPr="00703E29">
        <w:rPr>
          <w:lang w:val="en-US"/>
        </w:rPr>
        <w:t>Dysphagia</w:t>
      </w:r>
      <w:r w:rsidRPr="00347D21">
        <w:rPr>
          <w:lang w:val="el-GR"/>
        </w:rPr>
        <w:t xml:space="preserve"> </w:t>
      </w:r>
      <w:r w:rsidRPr="00703E29">
        <w:rPr>
          <w:lang w:val="en-US"/>
        </w:rPr>
        <w:t>Foundation</w:t>
      </w:r>
      <w:r w:rsidRPr="00347D21">
        <w:rPr>
          <w:lang w:val="el-GR"/>
        </w:rPr>
        <w:t xml:space="preserve">, </w:t>
      </w:r>
      <w:r w:rsidRPr="00703E29">
        <w:rPr>
          <w:lang w:val="en-US"/>
        </w:rPr>
        <w:t>theory</w:t>
      </w:r>
      <w:r w:rsidRPr="00347D21">
        <w:rPr>
          <w:lang w:val="el-GR"/>
        </w:rPr>
        <w:t xml:space="preserve"> </w:t>
      </w:r>
      <w:r w:rsidRPr="00703E29">
        <w:rPr>
          <w:lang w:val="en-US"/>
        </w:rPr>
        <w:t>and</w:t>
      </w:r>
      <w:r w:rsidRPr="00347D21">
        <w:rPr>
          <w:lang w:val="el-GR"/>
        </w:rPr>
        <w:t xml:space="preserve"> </w:t>
      </w:r>
      <w:r w:rsidRPr="00703E29">
        <w:rPr>
          <w:lang w:val="en-US"/>
        </w:rPr>
        <w:t>practice</w:t>
      </w:r>
      <w:r w:rsidRPr="00347D21">
        <w:rPr>
          <w:lang w:val="el-GR"/>
        </w:rPr>
        <w:t xml:space="preserve">. </w:t>
      </w:r>
      <w:r w:rsidRPr="00703E29">
        <w:rPr>
          <w:lang w:val="en-US"/>
        </w:rPr>
        <w:t xml:space="preserve">England: John Wiley &amp; </w:t>
      </w:r>
      <w:proofErr w:type="spellStart"/>
      <w:r w:rsidRPr="00703E29">
        <w:rPr>
          <w:lang w:val="en-US"/>
        </w:rPr>
        <w:t>Jons</w:t>
      </w:r>
      <w:proofErr w:type="spellEnd"/>
      <w:r w:rsidRPr="00703E29">
        <w:rPr>
          <w:lang w:val="en-US"/>
        </w:rPr>
        <w:t>, Ltd.</w:t>
      </w:r>
    </w:p>
    <w:p w14:paraId="1721F434" w14:textId="77777777" w:rsidR="00563E1A" w:rsidRPr="00703E29" w:rsidRDefault="00563E1A" w:rsidP="00703E29">
      <w:pPr>
        <w:spacing w:after="120" w:line="360" w:lineRule="auto"/>
        <w:ind w:left="993" w:hanging="993"/>
        <w:jc w:val="both"/>
        <w:rPr>
          <w:lang w:val="en-US"/>
        </w:rPr>
      </w:pPr>
      <w:r w:rsidRPr="00703E29">
        <w:rPr>
          <w:lang w:val="en-US"/>
        </w:rPr>
        <w:t xml:space="preserve">Corbin – Lewis, K., </w:t>
      </w:r>
      <w:proofErr w:type="spellStart"/>
      <w:r w:rsidRPr="00703E29">
        <w:rPr>
          <w:lang w:val="en-US"/>
        </w:rPr>
        <w:t>Liss</w:t>
      </w:r>
      <w:proofErr w:type="spellEnd"/>
      <w:r w:rsidRPr="00703E29">
        <w:rPr>
          <w:lang w:val="en-US"/>
        </w:rPr>
        <w:t xml:space="preserve">, J.M., &amp; </w:t>
      </w:r>
      <w:proofErr w:type="spellStart"/>
      <w:r w:rsidRPr="00703E29">
        <w:rPr>
          <w:lang w:val="en-US"/>
        </w:rPr>
        <w:t>Sciortino</w:t>
      </w:r>
      <w:proofErr w:type="spellEnd"/>
      <w:r w:rsidRPr="00703E29">
        <w:rPr>
          <w:lang w:val="en-US"/>
        </w:rPr>
        <w:t>, K.L. (2005). Clinical anatomy &amp; physiology of the swallow mechanism. USA: Thomson Delmer Learning.</w:t>
      </w:r>
    </w:p>
    <w:p w14:paraId="0CA227C4" w14:textId="77777777" w:rsidR="00563E1A" w:rsidRPr="00703E29" w:rsidRDefault="00563E1A" w:rsidP="00703E29">
      <w:pPr>
        <w:spacing w:after="120" w:line="360" w:lineRule="auto"/>
        <w:ind w:left="993" w:hanging="993"/>
        <w:jc w:val="both"/>
        <w:rPr>
          <w:lang w:val="en-US"/>
        </w:rPr>
      </w:pPr>
      <w:r w:rsidRPr="00703E29">
        <w:rPr>
          <w:lang w:val="en-US"/>
        </w:rPr>
        <w:lastRenderedPageBreak/>
        <w:t xml:space="preserve">Fredrick </w:t>
      </w:r>
      <w:proofErr w:type="spellStart"/>
      <w:r w:rsidRPr="00703E29">
        <w:rPr>
          <w:lang w:val="en-US"/>
        </w:rPr>
        <w:t>Vaezi</w:t>
      </w:r>
      <w:proofErr w:type="spellEnd"/>
      <w:r w:rsidRPr="00703E29">
        <w:rPr>
          <w:lang w:val="en-US"/>
        </w:rPr>
        <w:t xml:space="preserve">, M. (2009). </w:t>
      </w:r>
      <w:proofErr w:type="spellStart"/>
      <w:r w:rsidRPr="00703E29">
        <w:rPr>
          <w:lang w:val="en-US"/>
        </w:rPr>
        <w:t>Extroesophageal</w:t>
      </w:r>
      <w:proofErr w:type="spellEnd"/>
      <w:r w:rsidRPr="00703E29">
        <w:rPr>
          <w:lang w:val="en-US"/>
        </w:rPr>
        <w:t xml:space="preserve"> reflux. U.K: Plural Publishing. </w:t>
      </w:r>
    </w:p>
    <w:p w14:paraId="43DC3882" w14:textId="77777777" w:rsidR="00563E1A" w:rsidRPr="00703E29" w:rsidRDefault="00563E1A" w:rsidP="00703E29">
      <w:pPr>
        <w:spacing w:after="120" w:line="360" w:lineRule="auto"/>
        <w:ind w:left="993" w:hanging="993"/>
        <w:jc w:val="both"/>
        <w:rPr>
          <w:lang w:val="en-US"/>
        </w:rPr>
      </w:pPr>
      <w:proofErr w:type="spellStart"/>
      <w:r w:rsidRPr="00703E29">
        <w:rPr>
          <w:lang w:val="en-US"/>
        </w:rPr>
        <w:t>Grary</w:t>
      </w:r>
      <w:proofErr w:type="spellEnd"/>
      <w:r w:rsidRPr="00703E29">
        <w:rPr>
          <w:lang w:val="en-US"/>
        </w:rPr>
        <w:t xml:space="preserve">, M.A., &amp; </w:t>
      </w:r>
      <w:proofErr w:type="spellStart"/>
      <w:r w:rsidRPr="00703E29">
        <w:rPr>
          <w:lang w:val="en-US"/>
        </w:rPr>
        <w:t>Groher</w:t>
      </w:r>
      <w:proofErr w:type="spellEnd"/>
      <w:r w:rsidRPr="00703E29">
        <w:rPr>
          <w:lang w:val="en-US"/>
        </w:rPr>
        <w:t>, M.E. (2003). Adult Swallowing Disorder. USA: Butterworth – Heinemann.</w:t>
      </w:r>
    </w:p>
    <w:p w14:paraId="7270B6CE" w14:textId="77777777" w:rsidR="00563E1A" w:rsidRPr="00703E29" w:rsidRDefault="00563E1A" w:rsidP="00703E29">
      <w:pPr>
        <w:spacing w:after="120" w:line="360" w:lineRule="auto"/>
        <w:ind w:left="993" w:hanging="993"/>
        <w:jc w:val="both"/>
        <w:rPr>
          <w:lang w:val="en-US"/>
        </w:rPr>
      </w:pPr>
      <w:proofErr w:type="spellStart"/>
      <w:r w:rsidRPr="00703E29">
        <w:rPr>
          <w:lang w:val="en-US"/>
        </w:rPr>
        <w:t>Groher</w:t>
      </w:r>
      <w:proofErr w:type="spellEnd"/>
      <w:r w:rsidRPr="00703E29">
        <w:rPr>
          <w:lang w:val="en-US"/>
        </w:rPr>
        <w:t>, M.E. (1997). Dysphagia Diagnosis and management – Third Edition. Washington: Butterworth – Heinemann.</w:t>
      </w:r>
    </w:p>
    <w:p w14:paraId="6921E608" w14:textId="77777777" w:rsidR="00563E1A" w:rsidRPr="00703E29" w:rsidRDefault="00563E1A" w:rsidP="00703E29">
      <w:pPr>
        <w:spacing w:after="120" w:line="360" w:lineRule="auto"/>
        <w:ind w:left="993" w:hanging="993"/>
        <w:jc w:val="both"/>
        <w:rPr>
          <w:lang w:val="en-US"/>
        </w:rPr>
      </w:pPr>
      <w:proofErr w:type="spellStart"/>
      <w:r w:rsidRPr="00703E29">
        <w:rPr>
          <w:lang w:val="en-US"/>
        </w:rPr>
        <w:t>Logeman</w:t>
      </w:r>
      <w:proofErr w:type="spellEnd"/>
      <w:r w:rsidRPr="00703E29">
        <w:rPr>
          <w:lang w:val="en-US"/>
        </w:rPr>
        <w:t xml:space="preserve">, J.A. (1998). Evaluation and treatment of swallowing Disorders. USA: </w:t>
      </w:r>
      <w:proofErr w:type="spellStart"/>
      <w:r w:rsidRPr="00703E29">
        <w:rPr>
          <w:lang w:val="en-US"/>
        </w:rPr>
        <w:t>pro.ed</w:t>
      </w:r>
      <w:proofErr w:type="spellEnd"/>
      <w:r w:rsidRPr="00703E29">
        <w:rPr>
          <w:lang w:val="en-US"/>
        </w:rPr>
        <w:t>.</w:t>
      </w:r>
    </w:p>
    <w:p w14:paraId="5482C202" w14:textId="77777777" w:rsidR="00DE400E" w:rsidRDefault="00DE400E" w:rsidP="00DE400E">
      <w:pPr>
        <w:pStyle w:val="1"/>
        <w:spacing w:before="0" w:after="120" w:line="360" w:lineRule="auto"/>
        <w:rPr>
          <w:rFonts w:cs="Times New Roman"/>
          <w:b w:val="0"/>
        </w:rPr>
      </w:pPr>
    </w:p>
    <w:p w14:paraId="37599F4B" w14:textId="77777777" w:rsidR="00563E1A" w:rsidRPr="00DE400E" w:rsidRDefault="00563E1A" w:rsidP="00DE400E">
      <w:pPr>
        <w:pStyle w:val="1"/>
        <w:spacing w:before="0" w:after="120" w:line="360" w:lineRule="auto"/>
        <w:rPr>
          <w:rFonts w:cs="Times New Roman"/>
          <w:b w:val="0"/>
        </w:rPr>
      </w:pPr>
      <w:bookmarkStart w:id="66" w:name="_Toc493324002"/>
      <w:proofErr w:type="spellStart"/>
      <w:r w:rsidRPr="00DE400E">
        <w:rPr>
          <w:rFonts w:cs="Times New Roman"/>
        </w:rPr>
        <w:t>Βι</w:t>
      </w:r>
      <w:proofErr w:type="spellEnd"/>
      <w:r w:rsidRPr="00DE400E">
        <w:rPr>
          <w:rFonts w:cs="Times New Roman"/>
        </w:rPr>
        <w:t xml:space="preserve">βλιογραφία </w:t>
      </w:r>
      <w:proofErr w:type="spellStart"/>
      <w:r w:rsidRPr="00DE400E">
        <w:rPr>
          <w:rFonts w:cs="Times New Roman"/>
        </w:rPr>
        <w:t>Άρθρων</w:t>
      </w:r>
      <w:bookmarkEnd w:id="66"/>
      <w:proofErr w:type="spellEnd"/>
    </w:p>
    <w:p w14:paraId="0440CE8D" w14:textId="77777777" w:rsidR="00563E1A" w:rsidRPr="00703E29" w:rsidRDefault="00563E1A" w:rsidP="00703E29">
      <w:pPr>
        <w:spacing w:after="120" w:line="360" w:lineRule="auto"/>
        <w:ind w:left="567" w:hanging="567"/>
        <w:jc w:val="both"/>
        <w:rPr>
          <w:sz w:val="48"/>
        </w:rPr>
      </w:pPr>
      <w:r w:rsidRPr="00703E29">
        <w:rPr>
          <w:color w:val="222222"/>
          <w:szCs w:val="18"/>
          <w:shd w:val="clear" w:color="auto" w:fill="FFFFFF"/>
          <w:lang w:val="en-US"/>
        </w:rPr>
        <w:t xml:space="preserve">Bergamaschi, R., </w:t>
      </w:r>
      <w:proofErr w:type="spellStart"/>
      <w:r w:rsidRPr="00703E29">
        <w:rPr>
          <w:color w:val="222222"/>
          <w:szCs w:val="18"/>
          <w:shd w:val="clear" w:color="auto" w:fill="FFFFFF"/>
          <w:lang w:val="en-US"/>
        </w:rPr>
        <w:t>Crivelli</w:t>
      </w:r>
      <w:proofErr w:type="spellEnd"/>
      <w:r w:rsidRPr="00703E29">
        <w:rPr>
          <w:color w:val="222222"/>
          <w:szCs w:val="18"/>
          <w:shd w:val="clear" w:color="auto" w:fill="FFFFFF"/>
          <w:lang w:val="en-US"/>
        </w:rPr>
        <w:t xml:space="preserve">, P., </w:t>
      </w:r>
      <w:proofErr w:type="spellStart"/>
      <w:r w:rsidRPr="00703E29">
        <w:rPr>
          <w:color w:val="222222"/>
          <w:szCs w:val="18"/>
          <w:shd w:val="clear" w:color="auto" w:fill="FFFFFF"/>
          <w:lang w:val="en-US"/>
        </w:rPr>
        <w:t>Rezzani</w:t>
      </w:r>
      <w:proofErr w:type="spellEnd"/>
      <w:r w:rsidRPr="00703E29">
        <w:rPr>
          <w:color w:val="222222"/>
          <w:szCs w:val="18"/>
          <w:shd w:val="clear" w:color="auto" w:fill="FFFFFF"/>
          <w:lang w:val="en-US"/>
        </w:rPr>
        <w:t xml:space="preserve">, C., Patti, F., </w:t>
      </w:r>
      <w:proofErr w:type="spellStart"/>
      <w:r w:rsidRPr="00703E29">
        <w:rPr>
          <w:color w:val="222222"/>
          <w:szCs w:val="18"/>
          <w:shd w:val="clear" w:color="auto" w:fill="FFFFFF"/>
          <w:lang w:val="en-US"/>
        </w:rPr>
        <w:t>Solaro</w:t>
      </w:r>
      <w:proofErr w:type="spellEnd"/>
      <w:r w:rsidRPr="00703E29">
        <w:rPr>
          <w:color w:val="222222"/>
          <w:szCs w:val="18"/>
          <w:shd w:val="clear" w:color="auto" w:fill="FFFFFF"/>
          <w:lang w:val="en-US"/>
        </w:rPr>
        <w:t xml:space="preserve">, C., Rossi, P., ... &amp; </w:t>
      </w:r>
      <w:proofErr w:type="spellStart"/>
      <w:r w:rsidRPr="00703E29">
        <w:rPr>
          <w:color w:val="222222"/>
          <w:szCs w:val="18"/>
          <w:shd w:val="clear" w:color="auto" w:fill="FFFFFF"/>
          <w:lang w:val="en-US"/>
        </w:rPr>
        <w:t>Tavazzi</w:t>
      </w:r>
      <w:proofErr w:type="spellEnd"/>
      <w:r w:rsidRPr="00703E29">
        <w:rPr>
          <w:color w:val="222222"/>
          <w:szCs w:val="18"/>
          <w:shd w:val="clear" w:color="auto" w:fill="FFFFFF"/>
          <w:lang w:val="en-US"/>
        </w:rPr>
        <w:t>, E. (2008). The DYMUS questionnaire for the assessment of dysphagia in multiple sclerosis. </w:t>
      </w:r>
      <w:r w:rsidRPr="00703E29">
        <w:rPr>
          <w:i/>
          <w:iCs/>
          <w:color w:val="222222"/>
          <w:szCs w:val="18"/>
          <w:shd w:val="clear" w:color="auto" w:fill="FFFFFF"/>
        </w:rPr>
        <w:t>Journal of the neurological sciences</w:t>
      </w:r>
      <w:r w:rsidRPr="00703E29">
        <w:rPr>
          <w:color w:val="222222"/>
          <w:szCs w:val="18"/>
          <w:shd w:val="clear" w:color="auto" w:fill="FFFFFF"/>
        </w:rPr>
        <w:t>, </w:t>
      </w:r>
      <w:r w:rsidRPr="00703E29">
        <w:rPr>
          <w:i/>
          <w:iCs/>
          <w:color w:val="222222"/>
          <w:szCs w:val="18"/>
          <w:shd w:val="clear" w:color="auto" w:fill="FFFFFF"/>
        </w:rPr>
        <w:t>269</w:t>
      </w:r>
      <w:r w:rsidRPr="00703E29">
        <w:rPr>
          <w:color w:val="222222"/>
          <w:szCs w:val="18"/>
          <w:shd w:val="clear" w:color="auto" w:fill="FFFFFF"/>
        </w:rPr>
        <w:t>(1), 49-53.</w:t>
      </w:r>
    </w:p>
    <w:p w14:paraId="4540A395" w14:textId="77777777" w:rsidR="00563E1A" w:rsidRPr="00703E29" w:rsidRDefault="00563E1A" w:rsidP="00703E29">
      <w:pPr>
        <w:spacing w:after="120" w:line="360" w:lineRule="auto"/>
        <w:ind w:left="567" w:hanging="567"/>
        <w:jc w:val="both"/>
        <w:rPr>
          <w:sz w:val="72"/>
        </w:rPr>
      </w:pPr>
      <w:proofErr w:type="spellStart"/>
      <w:r w:rsidRPr="00703E29">
        <w:rPr>
          <w:color w:val="222222"/>
          <w:szCs w:val="18"/>
          <w:shd w:val="clear" w:color="auto" w:fill="FFFFFF"/>
          <w:lang w:val="en-US"/>
        </w:rPr>
        <w:t>Borgström</w:t>
      </w:r>
      <w:proofErr w:type="spellEnd"/>
      <w:r w:rsidRPr="00703E29">
        <w:rPr>
          <w:color w:val="222222"/>
          <w:szCs w:val="18"/>
          <w:shd w:val="clear" w:color="auto" w:fill="FFFFFF"/>
          <w:lang w:val="en-US"/>
        </w:rPr>
        <w:t>, P. S., &amp; Ekberg, O. (1988). Speed of peristalsis in pharyngeal constrictor musculature: correlation to age. </w:t>
      </w:r>
      <w:r w:rsidRPr="00703E29">
        <w:rPr>
          <w:i/>
          <w:iCs/>
          <w:color w:val="222222"/>
          <w:szCs w:val="18"/>
          <w:shd w:val="clear" w:color="auto" w:fill="FFFFFF"/>
        </w:rPr>
        <w:t>Dysphagia</w:t>
      </w:r>
      <w:r w:rsidRPr="00703E29">
        <w:rPr>
          <w:color w:val="222222"/>
          <w:szCs w:val="18"/>
          <w:shd w:val="clear" w:color="auto" w:fill="FFFFFF"/>
        </w:rPr>
        <w:t>, </w:t>
      </w:r>
      <w:r w:rsidRPr="00703E29">
        <w:rPr>
          <w:i/>
          <w:iCs/>
          <w:color w:val="222222"/>
          <w:szCs w:val="18"/>
          <w:shd w:val="clear" w:color="auto" w:fill="FFFFFF"/>
        </w:rPr>
        <w:t>2</w:t>
      </w:r>
      <w:r w:rsidRPr="00703E29">
        <w:rPr>
          <w:color w:val="222222"/>
          <w:szCs w:val="18"/>
          <w:shd w:val="clear" w:color="auto" w:fill="FFFFFF"/>
        </w:rPr>
        <w:t>(3), 140-144.</w:t>
      </w:r>
    </w:p>
    <w:p w14:paraId="5BD052FC" w14:textId="77777777" w:rsidR="00563E1A" w:rsidRPr="00703E29" w:rsidRDefault="00563E1A" w:rsidP="00703E29">
      <w:pPr>
        <w:spacing w:after="120" w:line="360" w:lineRule="auto"/>
        <w:ind w:left="567" w:hanging="567"/>
        <w:jc w:val="both"/>
        <w:rPr>
          <w:sz w:val="144"/>
        </w:rPr>
      </w:pPr>
      <w:r w:rsidRPr="00703E29">
        <w:rPr>
          <w:color w:val="222222"/>
          <w:szCs w:val="20"/>
          <w:shd w:val="clear" w:color="auto" w:fill="FFFFFF"/>
          <w:lang w:val="en-US"/>
        </w:rPr>
        <w:lastRenderedPageBreak/>
        <w:t>Castell, D. O., &amp; Donner, M. W. (1987). Evaluation of dysphagia: a careful history is crucial. </w:t>
      </w:r>
      <w:r w:rsidRPr="00703E29">
        <w:rPr>
          <w:i/>
          <w:iCs/>
          <w:color w:val="222222"/>
          <w:szCs w:val="20"/>
          <w:shd w:val="clear" w:color="auto" w:fill="FFFFFF"/>
        </w:rPr>
        <w:t>Dysphagia</w:t>
      </w:r>
      <w:r w:rsidRPr="00703E29">
        <w:rPr>
          <w:color w:val="222222"/>
          <w:szCs w:val="20"/>
          <w:shd w:val="clear" w:color="auto" w:fill="FFFFFF"/>
        </w:rPr>
        <w:t>, </w:t>
      </w:r>
      <w:r w:rsidRPr="00703E29">
        <w:rPr>
          <w:i/>
          <w:iCs/>
          <w:color w:val="222222"/>
          <w:szCs w:val="20"/>
          <w:shd w:val="clear" w:color="auto" w:fill="FFFFFF"/>
        </w:rPr>
        <w:t>2</w:t>
      </w:r>
      <w:r w:rsidRPr="00703E29">
        <w:rPr>
          <w:color w:val="222222"/>
          <w:szCs w:val="20"/>
          <w:shd w:val="clear" w:color="auto" w:fill="FFFFFF"/>
        </w:rPr>
        <w:t>(2), 65-71.</w:t>
      </w:r>
    </w:p>
    <w:p w14:paraId="620C6ECD" w14:textId="77777777" w:rsidR="00563E1A" w:rsidRPr="00703E29" w:rsidRDefault="00563E1A" w:rsidP="00703E29">
      <w:pPr>
        <w:spacing w:after="120" w:line="360" w:lineRule="auto"/>
        <w:ind w:left="567" w:hanging="567"/>
        <w:jc w:val="both"/>
        <w:rPr>
          <w:sz w:val="36"/>
        </w:rPr>
      </w:pPr>
      <w:proofErr w:type="spellStart"/>
      <w:r w:rsidRPr="00703E29">
        <w:rPr>
          <w:shd w:val="clear" w:color="auto" w:fill="FFFFFF"/>
          <w:lang w:val="en-US"/>
        </w:rPr>
        <w:t>Caudell</w:t>
      </w:r>
      <w:proofErr w:type="spellEnd"/>
      <w:r w:rsidRPr="00703E29">
        <w:rPr>
          <w:shd w:val="clear" w:color="auto" w:fill="FFFFFF"/>
          <w:lang w:val="en-US"/>
        </w:rPr>
        <w:t xml:space="preserve">, J. J., </w:t>
      </w:r>
      <w:proofErr w:type="spellStart"/>
      <w:r w:rsidRPr="00703E29">
        <w:rPr>
          <w:shd w:val="clear" w:color="auto" w:fill="FFFFFF"/>
          <w:lang w:val="en-US"/>
        </w:rPr>
        <w:t>Schaner</w:t>
      </w:r>
      <w:proofErr w:type="spellEnd"/>
      <w:r w:rsidRPr="00703E29">
        <w:rPr>
          <w:shd w:val="clear" w:color="auto" w:fill="FFFFFF"/>
          <w:lang w:val="en-US"/>
        </w:rPr>
        <w:t xml:space="preserve">, P. E., Meredith, R. F., </w:t>
      </w:r>
      <w:proofErr w:type="spellStart"/>
      <w:r w:rsidRPr="00703E29">
        <w:rPr>
          <w:shd w:val="clear" w:color="auto" w:fill="FFFFFF"/>
          <w:lang w:val="en-US"/>
        </w:rPr>
        <w:t>Locher</w:t>
      </w:r>
      <w:proofErr w:type="spellEnd"/>
      <w:r w:rsidRPr="00703E29">
        <w:rPr>
          <w:shd w:val="clear" w:color="auto" w:fill="FFFFFF"/>
          <w:lang w:val="en-US"/>
        </w:rPr>
        <w:t xml:space="preserve">, J. L., </w:t>
      </w:r>
      <w:proofErr w:type="spellStart"/>
      <w:r w:rsidRPr="00703E29">
        <w:rPr>
          <w:shd w:val="clear" w:color="auto" w:fill="FFFFFF"/>
          <w:lang w:val="en-US"/>
        </w:rPr>
        <w:t>Nabell</w:t>
      </w:r>
      <w:proofErr w:type="spellEnd"/>
      <w:r w:rsidRPr="00703E29">
        <w:rPr>
          <w:shd w:val="clear" w:color="auto" w:fill="FFFFFF"/>
          <w:lang w:val="en-US"/>
        </w:rPr>
        <w:t>, L. M., Carroll, W. R., ... &amp; Bonner, J. A. (2009). Factors associated with long-term dysphagia after definitive radiotherapy for locally advanced head-and-neck cancer. </w:t>
      </w:r>
      <w:r w:rsidRPr="00703E29">
        <w:rPr>
          <w:i/>
          <w:iCs/>
          <w:shd w:val="clear" w:color="auto" w:fill="FFFFFF"/>
        </w:rPr>
        <w:t>International Journal of Radiation Oncology* Biology* Physics</w:t>
      </w:r>
      <w:r w:rsidRPr="00703E29">
        <w:rPr>
          <w:shd w:val="clear" w:color="auto" w:fill="FFFFFF"/>
        </w:rPr>
        <w:t>, </w:t>
      </w:r>
      <w:r w:rsidRPr="00703E29">
        <w:rPr>
          <w:i/>
          <w:iCs/>
          <w:shd w:val="clear" w:color="auto" w:fill="FFFFFF"/>
        </w:rPr>
        <w:t>73</w:t>
      </w:r>
      <w:r w:rsidRPr="00703E29">
        <w:rPr>
          <w:shd w:val="clear" w:color="auto" w:fill="FFFFFF"/>
        </w:rPr>
        <w:t>(2), 410-415.</w:t>
      </w:r>
    </w:p>
    <w:p w14:paraId="1203A5D6" w14:textId="77777777" w:rsidR="00563E1A" w:rsidRPr="00703E29" w:rsidRDefault="00563E1A" w:rsidP="00703E29">
      <w:pPr>
        <w:spacing w:after="120" w:line="360" w:lineRule="auto"/>
        <w:ind w:left="567" w:hanging="567"/>
        <w:jc w:val="both"/>
        <w:rPr>
          <w:sz w:val="48"/>
        </w:rPr>
      </w:pPr>
      <w:r w:rsidRPr="00703E29">
        <w:rPr>
          <w:color w:val="222222"/>
          <w:szCs w:val="18"/>
          <w:shd w:val="clear" w:color="auto" w:fill="FFFFFF"/>
          <w:lang w:val="en-US"/>
        </w:rPr>
        <w:t>Cohen, J. T., &amp; Manor, Y. (2011). Swallowing disturbance questionnaire for detecting dysphagia. </w:t>
      </w:r>
      <w:r w:rsidRPr="00703E29">
        <w:rPr>
          <w:i/>
          <w:iCs/>
          <w:color w:val="222222"/>
          <w:szCs w:val="18"/>
          <w:shd w:val="clear" w:color="auto" w:fill="FFFFFF"/>
        </w:rPr>
        <w:t>The Laryngoscope</w:t>
      </w:r>
      <w:r w:rsidRPr="00703E29">
        <w:rPr>
          <w:color w:val="222222"/>
          <w:szCs w:val="18"/>
          <w:shd w:val="clear" w:color="auto" w:fill="FFFFFF"/>
        </w:rPr>
        <w:t>, </w:t>
      </w:r>
      <w:r w:rsidRPr="00703E29">
        <w:rPr>
          <w:i/>
          <w:iCs/>
          <w:color w:val="222222"/>
          <w:szCs w:val="18"/>
          <w:shd w:val="clear" w:color="auto" w:fill="FFFFFF"/>
        </w:rPr>
        <w:t>121</w:t>
      </w:r>
      <w:r w:rsidRPr="00703E29">
        <w:rPr>
          <w:color w:val="222222"/>
          <w:szCs w:val="18"/>
          <w:shd w:val="clear" w:color="auto" w:fill="FFFFFF"/>
        </w:rPr>
        <w:t>(7), 1383-1387.</w:t>
      </w:r>
    </w:p>
    <w:p w14:paraId="30FDC3C8" w14:textId="77777777" w:rsidR="00563E1A" w:rsidRPr="00703E29" w:rsidRDefault="00563E1A" w:rsidP="00703E29">
      <w:pPr>
        <w:spacing w:after="120" w:line="360" w:lineRule="auto"/>
        <w:ind w:left="567" w:hanging="567"/>
        <w:jc w:val="both"/>
        <w:rPr>
          <w:sz w:val="48"/>
        </w:rPr>
      </w:pPr>
      <w:r w:rsidRPr="00703E29">
        <w:rPr>
          <w:color w:val="222222"/>
          <w:szCs w:val="18"/>
          <w:shd w:val="clear" w:color="auto" w:fill="FFFFFF"/>
          <w:lang w:val="en-US"/>
        </w:rPr>
        <w:t xml:space="preserve">Dwivedi, R. C., Rose, S. S., Chisholm, E. J., </w:t>
      </w:r>
      <w:proofErr w:type="spellStart"/>
      <w:r w:rsidRPr="00703E29">
        <w:rPr>
          <w:color w:val="222222"/>
          <w:szCs w:val="18"/>
          <w:shd w:val="clear" w:color="auto" w:fill="FFFFFF"/>
          <w:lang w:val="en-US"/>
        </w:rPr>
        <w:t>Georgalas</w:t>
      </w:r>
      <w:proofErr w:type="spellEnd"/>
      <w:r w:rsidRPr="00703E29">
        <w:rPr>
          <w:color w:val="222222"/>
          <w:szCs w:val="18"/>
          <w:shd w:val="clear" w:color="auto" w:fill="FFFFFF"/>
          <w:lang w:val="en-US"/>
        </w:rPr>
        <w:t xml:space="preserve">, C., </w:t>
      </w:r>
      <w:proofErr w:type="spellStart"/>
      <w:r w:rsidRPr="00703E29">
        <w:rPr>
          <w:color w:val="222222"/>
          <w:szCs w:val="18"/>
          <w:shd w:val="clear" w:color="auto" w:fill="FFFFFF"/>
          <w:lang w:val="en-US"/>
        </w:rPr>
        <w:t>Bisase</w:t>
      </w:r>
      <w:proofErr w:type="spellEnd"/>
      <w:r w:rsidRPr="00703E29">
        <w:rPr>
          <w:color w:val="222222"/>
          <w:szCs w:val="18"/>
          <w:shd w:val="clear" w:color="auto" w:fill="FFFFFF"/>
          <w:lang w:val="en-US"/>
        </w:rPr>
        <w:t>, B., Amen, F., ... &amp; Harrington, K. J. (2012). Evaluation of swallowing by Sydney Swallow Questionnaire (SSQ) in oral and oropharyngeal cancer patients treated with primary surgery. </w:t>
      </w:r>
      <w:r w:rsidRPr="00703E29">
        <w:rPr>
          <w:i/>
          <w:iCs/>
          <w:color w:val="222222"/>
          <w:szCs w:val="18"/>
          <w:shd w:val="clear" w:color="auto" w:fill="FFFFFF"/>
        </w:rPr>
        <w:t>Dysphagia</w:t>
      </w:r>
      <w:r w:rsidRPr="00703E29">
        <w:rPr>
          <w:color w:val="222222"/>
          <w:szCs w:val="18"/>
          <w:shd w:val="clear" w:color="auto" w:fill="FFFFFF"/>
        </w:rPr>
        <w:t>, </w:t>
      </w:r>
      <w:r w:rsidRPr="00703E29">
        <w:rPr>
          <w:i/>
          <w:iCs/>
          <w:color w:val="222222"/>
          <w:szCs w:val="18"/>
          <w:shd w:val="clear" w:color="auto" w:fill="FFFFFF"/>
        </w:rPr>
        <w:t>27</w:t>
      </w:r>
      <w:r w:rsidRPr="00703E29">
        <w:rPr>
          <w:color w:val="222222"/>
          <w:szCs w:val="18"/>
          <w:shd w:val="clear" w:color="auto" w:fill="FFFFFF"/>
        </w:rPr>
        <w:t>(4), 491-497.</w:t>
      </w:r>
    </w:p>
    <w:p w14:paraId="124C9C9C" w14:textId="77777777" w:rsidR="00563E1A" w:rsidRPr="00703E29" w:rsidRDefault="00563E1A" w:rsidP="00703E29">
      <w:pPr>
        <w:spacing w:after="120" w:line="360" w:lineRule="auto"/>
        <w:ind w:left="567" w:hanging="567"/>
        <w:jc w:val="both"/>
        <w:rPr>
          <w:sz w:val="56"/>
        </w:rPr>
      </w:pPr>
      <w:r w:rsidRPr="00703E29">
        <w:rPr>
          <w:color w:val="222222"/>
          <w:szCs w:val="20"/>
          <w:shd w:val="clear" w:color="auto" w:fill="FFFFFF"/>
          <w:lang w:val="en-US"/>
        </w:rPr>
        <w:t xml:space="preserve">Ekberg, O., </w:t>
      </w:r>
      <w:proofErr w:type="spellStart"/>
      <w:r w:rsidRPr="00703E29">
        <w:rPr>
          <w:color w:val="222222"/>
          <w:szCs w:val="20"/>
          <w:shd w:val="clear" w:color="auto" w:fill="FFFFFF"/>
          <w:lang w:val="en-US"/>
        </w:rPr>
        <w:t>Hamdy</w:t>
      </w:r>
      <w:proofErr w:type="spellEnd"/>
      <w:r w:rsidRPr="00703E29">
        <w:rPr>
          <w:color w:val="222222"/>
          <w:szCs w:val="20"/>
          <w:shd w:val="clear" w:color="auto" w:fill="FFFFFF"/>
          <w:lang w:val="en-US"/>
        </w:rPr>
        <w:t xml:space="preserve">, S., </w:t>
      </w:r>
      <w:proofErr w:type="spellStart"/>
      <w:r w:rsidRPr="00703E29">
        <w:rPr>
          <w:color w:val="222222"/>
          <w:szCs w:val="20"/>
          <w:shd w:val="clear" w:color="auto" w:fill="FFFFFF"/>
          <w:lang w:val="en-US"/>
        </w:rPr>
        <w:t>Woisard</w:t>
      </w:r>
      <w:proofErr w:type="spellEnd"/>
      <w:r w:rsidRPr="00703E29">
        <w:rPr>
          <w:color w:val="222222"/>
          <w:szCs w:val="20"/>
          <w:shd w:val="clear" w:color="auto" w:fill="FFFFFF"/>
          <w:lang w:val="en-US"/>
        </w:rPr>
        <w:t xml:space="preserve">, V., </w:t>
      </w:r>
      <w:proofErr w:type="spellStart"/>
      <w:r w:rsidRPr="00703E29">
        <w:rPr>
          <w:color w:val="222222"/>
          <w:szCs w:val="20"/>
          <w:shd w:val="clear" w:color="auto" w:fill="FFFFFF"/>
          <w:lang w:val="en-US"/>
        </w:rPr>
        <w:t>Wuttge</w:t>
      </w:r>
      <w:proofErr w:type="spellEnd"/>
      <w:r w:rsidRPr="00703E29">
        <w:rPr>
          <w:color w:val="222222"/>
          <w:szCs w:val="20"/>
          <w:shd w:val="clear" w:color="auto" w:fill="FFFFFF"/>
          <w:lang w:val="en-US"/>
        </w:rPr>
        <w:t>–</w:t>
      </w:r>
      <w:proofErr w:type="spellStart"/>
      <w:r w:rsidRPr="00703E29">
        <w:rPr>
          <w:color w:val="222222"/>
          <w:szCs w:val="20"/>
          <w:shd w:val="clear" w:color="auto" w:fill="FFFFFF"/>
          <w:lang w:val="en-US"/>
        </w:rPr>
        <w:t>Hannig</w:t>
      </w:r>
      <w:proofErr w:type="spellEnd"/>
      <w:r w:rsidRPr="00703E29">
        <w:rPr>
          <w:color w:val="222222"/>
          <w:szCs w:val="20"/>
          <w:shd w:val="clear" w:color="auto" w:fill="FFFFFF"/>
          <w:lang w:val="en-US"/>
        </w:rPr>
        <w:t>, A., &amp; Ortega, P. (2002). Social and psychological burden of dysphagia: its impact on diagnosis and treatment. </w:t>
      </w:r>
      <w:r w:rsidRPr="00703E29">
        <w:rPr>
          <w:i/>
          <w:iCs/>
          <w:color w:val="222222"/>
          <w:szCs w:val="20"/>
          <w:shd w:val="clear" w:color="auto" w:fill="FFFFFF"/>
        </w:rPr>
        <w:t>Dysphagia</w:t>
      </w:r>
      <w:r w:rsidRPr="00703E29">
        <w:rPr>
          <w:color w:val="222222"/>
          <w:szCs w:val="20"/>
          <w:shd w:val="clear" w:color="auto" w:fill="FFFFFF"/>
        </w:rPr>
        <w:t>, </w:t>
      </w:r>
      <w:r w:rsidRPr="00703E29">
        <w:rPr>
          <w:i/>
          <w:iCs/>
          <w:color w:val="222222"/>
          <w:szCs w:val="20"/>
          <w:shd w:val="clear" w:color="auto" w:fill="FFFFFF"/>
        </w:rPr>
        <w:t>17</w:t>
      </w:r>
      <w:r w:rsidRPr="00703E29">
        <w:rPr>
          <w:color w:val="222222"/>
          <w:szCs w:val="20"/>
          <w:shd w:val="clear" w:color="auto" w:fill="FFFFFF"/>
        </w:rPr>
        <w:t>(2), 139-146.</w:t>
      </w:r>
    </w:p>
    <w:p w14:paraId="2020D50E" w14:textId="77777777" w:rsidR="00563E1A" w:rsidRPr="00703E29" w:rsidRDefault="00563E1A" w:rsidP="00703E29">
      <w:pPr>
        <w:spacing w:after="120" w:line="360" w:lineRule="auto"/>
        <w:ind w:left="567" w:hanging="567"/>
        <w:jc w:val="both"/>
        <w:rPr>
          <w:sz w:val="40"/>
        </w:rPr>
      </w:pPr>
      <w:proofErr w:type="spellStart"/>
      <w:r w:rsidRPr="00703E29">
        <w:rPr>
          <w:shd w:val="clear" w:color="auto" w:fill="FFFFFF"/>
          <w:lang w:val="en-US"/>
        </w:rPr>
        <w:lastRenderedPageBreak/>
        <w:t>Ferlay</w:t>
      </w:r>
      <w:proofErr w:type="spellEnd"/>
      <w:r w:rsidRPr="00703E29">
        <w:rPr>
          <w:shd w:val="clear" w:color="auto" w:fill="FFFFFF"/>
          <w:lang w:val="en-US"/>
        </w:rPr>
        <w:t xml:space="preserve">, J., </w:t>
      </w:r>
      <w:proofErr w:type="spellStart"/>
      <w:r w:rsidRPr="00703E29">
        <w:rPr>
          <w:shd w:val="clear" w:color="auto" w:fill="FFFFFF"/>
          <w:lang w:val="en-US"/>
        </w:rPr>
        <w:t>Soerjomataram</w:t>
      </w:r>
      <w:proofErr w:type="spellEnd"/>
      <w:r w:rsidRPr="00703E29">
        <w:rPr>
          <w:shd w:val="clear" w:color="auto" w:fill="FFFFFF"/>
          <w:lang w:val="en-US"/>
        </w:rPr>
        <w:t xml:space="preserve">, I., </w:t>
      </w:r>
      <w:proofErr w:type="spellStart"/>
      <w:r w:rsidRPr="00703E29">
        <w:rPr>
          <w:shd w:val="clear" w:color="auto" w:fill="FFFFFF"/>
          <w:lang w:val="en-US"/>
        </w:rPr>
        <w:t>Ervik</w:t>
      </w:r>
      <w:proofErr w:type="spellEnd"/>
      <w:r w:rsidRPr="00703E29">
        <w:rPr>
          <w:shd w:val="clear" w:color="auto" w:fill="FFFFFF"/>
          <w:lang w:val="en-US"/>
        </w:rPr>
        <w:t xml:space="preserve">, M., Dikshit, R., </w:t>
      </w:r>
      <w:proofErr w:type="spellStart"/>
      <w:r w:rsidRPr="00703E29">
        <w:rPr>
          <w:shd w:val="clear" w:color="auto" w:fill="FFFFFF"/>
          <w:lang w:val="en-US"/>
        </w:rPr>
        <w:t>Eser</w:t>
      </w:r>
      <w:proofErr w:type="spellEnd"/>
      <w:r w:rsidRPr="00703E29">
        <w:rPr>
          <w:shd w:val="clear" w:color="auto" w:fill="FFFFFF"/>
          <w:lang w:val="en-US"/>
        </w:rPr>
        <w:t>, S., Mathers, C., ... &amp; Bray, F. (2013). Cancer incidence and mortality worldwide: GLOBOCAN 2012 v1. 0, IARC Cancer Base No. 11. </w:t>
      </w:r>
      <w:r w:rsidRPr="00703E29">
        <w:rPr>
          <w:i/>
          <w:iCs/>
          <w:shd w:val="clear" w:color="auto" w:fill="FFFFFF"/>
        </w:rPr>
        <w:t>International Agency for Research on Cancer: Lyon, France</w:t>
      </w:r>
      <w:r w:rsidRPr="00703E29">
        <w:rPr>
          <w:shd w:val="clear" w:color="auto" w:fill="FFFFFF"/>
        </w:rPr>
        <w:t>.</w:t>
      </w:r>
    </w:p>
    <w:p w14:paraId="269A3F66" w14:textId="77777777" w:rsidR="00563E1A" w:rsidRPr="00703E29" w:rsidRDefault="00563E1A" w:rsidP="00703E29">
      <w:pPr>
        <w:spacing w:after="120" w:line="360" w:lineRule="auto"/>
        <w:ind w:left="567" w:hanging="567"/>
        <w:jc w:val="both"/>
        <w:rPr>
          <w:sz w:val="52"/>
        </w:rPr>
      </w:pPr>
      <w:r w:rsidRPr="00703E29">
        <w:rPr>
          <w:color w:val="222222"/>
          <w:szCs w:val="18"/>
          <w:shd w:val="clear" w:color="auto" w:fill="FFFFFF"/>
          <w:lang w:val="en-US"/>
        </w:rPr>
        <w:t xml:space="preserve">Garcia-Peris, P., </w:t>
      </w:r>
      <w:proofErr w:type="spellStart"/>
      <w:r w:rsidRPr="00703E29">
        <w:rPr>
          <w:color w:val="222222"/>
          <w:szCs w:val="18"/>
          <w:shd w:val="clear" w:color="auto" w:fill="FFFFFF"/>
          <w:lang w:val="en-US"/>
        </w:rPr>
        <w:t>Paron</w:t>
      </w:r>
      <w:proofErr w:type="spellEnd"/>
      <w:r w:rsidRPr="00703E29">
        <w:rPr>
          <w:color w:val="222222"/>
          <w:szCs w:val="18"/>
          <w:shd w:val="clear" w:color="auto" w:fill="FFFFFF"/>
          <w:lang w:val="en-US"/>
        </w:rPr>
        <w:t xml:space="preserve">, L., Velasco, C., De la </w:t>
      </w:r>
      <w:proofErr w:type="spellStart"/>
      <w:r w:rsidRPr="00703E29">
        <w:rPr>
          <w:color w:val="222222"/>
          <w:szCs w:val="18"/>
          <w:shd w:val="clear" w:color="auto" w:fill="FFFFFF"/>
          <w:lang w:val="en-US"/>
        </w:rPr>
        <w:t>Cuerda</w:t>
      </w:r>
      <w:proofErr w:type="spellEnd"/>
      <w:r w:rsidRPr="00703E29">
        <w:rPr>
          <w:color w:val="222222"/>
          <w:szCs w:val="18"/>
          <w:shd w:val="clear" w:color="auto" w:fill="FFFFFF"/>
          <w:lang w:val="en-US"/>
        </w:rPr>
        <w:t xml:space="preserve">, C., </w:t>
      </w:r>
      <w:proofErr w:type="spellStart"/>
      <w:r w:rsidRPr="00703E29">
        <w:rPr>
          <w:color w:val="222222"/>
          <w:szCs w:val="18"/>
          <w:shd w:val="clear" w:color="auto" w:fill="FFFFFF"/>
          <w:lang w:val="en-US"/>
        </w:rPr>
        <w:t>Camblor</w:t>
      </w:r>
      <w:proofErr w:type="spellEnd"/>
      <w:r w:rsidRPr="00703E29">
        <w:rPr>
          <w:color w:val="222222"/>
          <w:szCs w:val="18"/>
          <w:shd w:val="clear" w:color="auto" w:fill="FFFFFF"/>
          <w:lang w:val="en-US"/>
        </w:rPr>
        <w:t xml:space="preserve">, M., </w:t>
      </w:r>
      <w:proofErr w:type="spellStart"/>
      <w:r w:rsidRPr="00703E29">
        <w:rPr>
          <w:color w:val="222222"/>
          <w:szCs w:val="18"/>
          <w:shd w:val="clear" w:color="auto" w:fill="FFFFFF"/>
          <w:lang w:val="en-US"/>
        </w:rPr>
        <w:t>Bretón</w:t>
      </w:r>
      <w:proofErr w:type="spellEnd"/>
      <w:r w:rsidRPr="00703E29">
        <w:rPr>
          <w:color w:val="222222"/>
          <w:szCs w:val="18"/>
          <w:shd w:val="clear" w:color="auto" w:fill="FFFFFF"/>
          <w:lang w:val="en-US"/>
        </w:rPr>
        <w:t>, I., ... &amp; Clave, P. (2007). Long-term prevalence of oropharyngeal dysphagia in head and neck cancer patients: impact on quality of life. </w:t>
      </w:r>
      <w:r w:rsidRPr="00703E29">
        <w:rPr>
          <w:i/>
          <w:iCs/>
          <w:color w:val="222222"/>
          <w:szCs w:val="18"/>
          <w:shd w:val="clear" w:color="auto" w:fill="FFFFFF"/>
        </w:rPr>
        <w:t>Clinical Nutrition</w:t>
      </w:r>
      <w:r w:rsidRPr="00703E29">
        <w:rPr>
          <w:color w:val="222222"/>
          <w:szCs w:val="18"/>
          <w:shd w:val="clear" w:color="auto" w:fill="FFFFFF"/>
        </w:rPr>
        <w:t>, </w:t>
      </w:r>
      <w:r w:rsidRPr="00703E29">
        <w:rPr>
          <w:i/>
          <w:iCs/>
          <w:color w:val="222222"/>
          <w:szCs w:val="18"/>
          <w:shd w:val="clear" w:color="auto" w:fill="FFFFFF"/>
        </w:rPr>
        <w:t>26</w:t>
      </w:r>
      <w:r w:rsidRPr="00703E29">
        <w:rPr>
          <w:color w:val="222222"/>
          <w:szCs w:val="18"/>
          <w:shd w:val="clear" w:color="auto" w:fill="FFFFFF"/>
        </w:rPr>
        <w:t>(6), 710-717.</w:t>
      </w:r>
    </w:p>
    <w:p w14:paraId="067EE035" w14:textId="77777777" w:rsidR="00563E1A" w:rsidRPr="00703E29" w:rsidRDefault="00563E1A" w:rsidP="00703E29">
      <w:pPr>
        <w:spacing w:after="120" w:line="360" w:lineRule="auto"/>
        <w:ind w:left="567" w:hanging="567"/>
        <w:jc w:val="both"/>
        <w:rPr>
          <w:sz w:val="52"/>
        </w:rPr>
      </w:pPr>
      <w:r w:rsidRPr="00703E29">
        <w:rPr>
          <w:color w:val="222222"/>
          <w:szCs w:val="18"/>
          <w:shd w:val="clear" w:color="auto" w:fill="FFFFFF"/>
          <w:lang w:val="en-US"/>
        </w:rPr>
        <w:t>González-Fernández, M., &amp; Daniels, S. K. (2008). Dysphagia in stroke and neurologic disease. </w:t>
      </w:r>
      <w:r w:rsidRPr="00703E29">
        <w:rPr>
          <w:i/>
          <w:iCs/>
          <w:color w:val="222222"/>
          <w:szCs w:val="18"/>
          <w:shd w:val="clear" w:color="auto" w:fill="FFFFFF"/>
        </w:rPr>
        <w:t>Physical medicine and rehabilitation clinics of North America</w:t>
      </w:r>
      <w:r w:rsidRPr="00703E29">
        <w:rPr>
          <w:color w:val="222222"/>
          <w:szCs w:val="18"/>
          <w:shd w:val="clear" w:color="auto" w:fill="FFFFFF"/>
        </w:rPr>
        <w:t>, </w:t>
      </w:r>
      <w:r w:rsidRPr="00703E29">
        <w:rPr>
          <w:i/>
          <w:iCs/>
          <w:color w:val="222222"/>
          <w:szCs w:val="18"/>
          <w:shd w:val="clear" w:color="auto" w:fill="FFFFFF"/>
        </w:rPr>
        <w:t>19</w:t>
      </w:r>
      <w:r w:rsidRPr="00703E29">
        <w:rPr>
          <w:color w:val="222222"/>
          <w:szCs w:val="18"/>
          <w:shd w:val="clear" w:color="auto" w:fill="FFFFFF"/>
        </w:rPr>
        <w:t>(4), 867-888.</w:t>
      </w:r>
    </w:p>
    <w:p w14:paraId="4C6C14EA" w14:textId="77777777" w:rsidR="00563E1A" w:rsidRPr="00703E29" w:rsidRDefault="00563E1A" w:rsidP="00703E29">
      <w:pPr>
        <w:spacing w:after="120" w:line="360" w:lineRule="auto"/>
        <w:ind w:left="567" w:hanging="567"/>
        <w:jc w:val="both"/>
        <w:rPr>
          <w:sz w:val="52"/>
        </w:rPr>
      </w:pPr>
      <w:proofErr w:type="spellStart"/>
      <w:r w:rsidRPr="00703E29">
        <w:rPr>
          <w:shd w:val="clear" w:color="auto" w:fill="FFFFFF"/>
          <w:lang w:val="en-US"/>
        </w:rPr>
        <w:t>Logemann</w:t>
      </w:r>
      <w:proofErr w:type="spellEnd"/>
      <w:r w:rsidRPr="00703E29">
        <w:rPr>
          <w:shd w:val="clear" w:color="auto" w:fill="FFFFFF"/>
          <w:lang w:val="en-US"/>
        </w:rPr>
        <w:t>, J. A. (1995). Dysphagia: evaluation and treatment. </w:t>
      </w:r>
      <w:r w:rsidRPr="00703E29">
        <w:rPr>
          <w:i/>
          <w:iCs/>
          <w:shd w:val="clear" w:color="auto" w:fill="FFFFFF"/>
        </w:rPr>
        <w:t xml:space="preserve">Folia </w:t>
      </w:r>
      <w:proofErr w:type="spellStart"/>
      <w:r w:rsidRPr="00703E29">
        <w:rPr>
          <w:i/>
          <w:iCs/>
          <w:shd w:val="clear" w:color="auto" w:fill="FFFFFF"/>
        </w:rPr>
        <w:t>Phoniatrica</w:t>
      </w:r>
      <w:proofErr w:type="spellEnd"/>
      <w:r w:rsidRPr="00703E29">
        <w:rPr>
          <w:i/>
          <w:iCs/>
          <w:shd w:val="clear" w:color="auto" w:fill="FFFFFF"/>
        </w:rPr>
        <w:t xml:space="preserve"> et </w:t>
      </w:r>
      <w:proofErr w:type="spellStart"/>
      <w:r w:rsidRPr="00703E29">
        <w:rPr>
          <w:i/>
          <w:iCs/>
          <w:shd w:val="clear" w:color="auto" w:fill="FFFFFF"/>
        </w:rPr>
        <w:t>Logopaedica</w:t>
      </w:r>
      <w:proofErr w:type="spellEnd"/>
      <w:r w:rsidRPr="00703E29">
        <w:rPr>
          <w:shd w:val="clear" w:color="auto" w:fill="FFFFFF"/>
        </w:rPr>
        <w:t>, </w:t>
      </w:r>
      <w:r w:rsidRPr="00703E29">
        <w:rPr>
          <w:i/>
          <w:iCs/>
          <w:shd w:val="clear" w:color="auto" w:fill="FFFFFF"/>
        </w:rPr>
        <w:t>47</w:t>
      </w:r>
      <w:r w:rsidRPr="00703E29">
        <w:rPr>
          <w:shd w:val="clear" w:color="auto" w:fill="FFFFFF"/>
        </w:rPr>
        <w:t>(3), 140-164.</w:t>
      </w:r>
    </w:p>
    <w:p w14:paraId="696B2FAB" w14:textId="77777777" w:rsidR="00563E1A" w:rsidRPr="00703E29" w:rsidRDefault="00563E1A" w:rsidP="00703E29">
      <w:pPr>
        <w:spacing w:after="120" w:line="360" w:lineRule="auto"/>
        <w:ind w:left="567" w:hanging="567"/>
        <w:jc w:val="both"/>
        <w:rPr>
          <w:sz w:val="96"/>
        </w:rPr>
      </w:pPr>
      <w:proofErr w:type="spellStart"/>
      <w:r w:rsidRPr="00703E29">
        <w:rPr>
          <w:color w:val="222222"/>
          <w:szCs w:val="18"/>
          <w:shd w:val="clear" w:color="auto" w:fill="FFFFFF"/>
          <w:lang w:val="en-US"/>
        </w:rPr>
        <w:t>Lubin</w:t>
      </w:r>
      <w:proofErr w:type="spellEnd"/>
      <w:r w:rsidRPr="00703E29">
        <w:rPr>
          <w:color w:val="222222"/>
          <w:szCs w:val="18"/>
          <w:shd w:val="clear" w:color="auto" w:fill="FFFFFF"/>
          <w:lang w:val="en-US"/>
        </w:rPr>
        <w:t xml:space="preserve">, J. H., Purdue, M., Kelsey, K., Zhang, Z. F., Winn, D., Wei, Q., ... &amp; </w:t>
      </w:r>
      <w:proofErr w:type="spellStart"/>
      <w:r w:rsidRPr="00703E29">
        <w:rPr>
          <w:color w:val="222222"/>
          <w:szCs w:val="18"/>
          <w:shd w:val="clear" w:color="auto" w:fill="FFFFFF"/>
          <w:lang w:val="en-US"/>
        </w:rPr>
        <w:t>Shangina</w:t>
      </w:r>
      <w:proofErr w:type="spellEnd"/>
      <w:r w:rsidRPr="00703E29">
        <w:rPr>
          <w:color w:val="222222"/>
          <w:szCs w:val="18"/>
          <w:shd w:val="clear" w:color="auto" w:fill="FFFFFF"/>
          <w:lang w:val="en-US"/>
        </w:rPr>
        <w:t>, O. (2009). Total exposure and exposure rate effects for alcohol and smoking and risk of head and neck cancer: a pooled analysis of case-control studies. </w:t>
      </w:r>
      <w:r w:rsidRPr="00703E29">
        <w:rPr>
          <w:i/>
          <w:iCs/>
          <w:color w:val="222222"/>
          <w:szCs w:val="18"/>
          <w:shd w:val="clear" w:color="auto" w:fill="FFFFFF"/>
        </w:rPr>
        <w:t>American journal of epidemiology</w:t>
      </w:r>
      <w:r w:rsidRPr="00703E29">
        <w:rPr>
          <w:color w:val="222222"/>
          <w:szCs w:val="18"/>
          <w:shd w:val="clear" w:color="auto" w:fill="FFFFFF"/>
        </w:rPr>
        <w:t>, </w:t>
      </w:r>
      <w:r w:rsidRPr="00703E29">
        <w:rPr>
          <w:i/>
          <w:iCs/>
          <w:color w:val="222222"/>
          <w:szCs w:val="18"/>
          <w:shd w:val="clear" w:color="auto" w:fill="FFFFFF"/>
        </w:rPr>
        <w:t>170</w:t>
      </w:r>
      <w:r w:rsidRPr="00703E29">
        <w:rPr>
          <w:color w:val="222222"/>
          <w:szCs w:val="18"/>
          <w:shd w:val="clear" w:color="auto" w:fill="FFFFFF"/>
        </w:rPr>
        <w:t>(8), 937-947.</w:t>
      </w:r>
    </w:p>
    <w:p w14:paraId="5010AB15" w14:textId="77777777" w:rsidR="00563E1A" w:rsidRPr="00703E29" w:rsidRDefault="00563E1A" w:rsidP="00703E29">
      <w:pPr>
        <w:spacing w:after="120" w:line="360" w:lineRule="auto"/>
        <w:ind w:left="567" w:hanging="567"/>
        <w:jc w:val="both"/>
        <w:rPr>
          <w:sz w:val="180"/>
        </w:rPr>
      </w:pPr>
      <w:proofErr w:type="spellStart"/>
      <w:r w:rsidRPr="00703E29">
        <w:rPr>
          <w:color w:val="222222"/>
          <w:szCs w:val="18"/>
          <w:shd w:val="clear" w:color="auto" w:fill="FFFFFF"/>
          <w:lang w:val="en-US"/>
        </w:rPr>
        <w:lastRenderedPageBreak/>
        <w:t>Pauloski</w:t>
      </w:r>
      <w:proofErr w:type="spellEnd"/>
      <w:r w:rsidRPr="00703E29">
        <w:rPr>
          <w:color w:val="222222"/>
          <w:szCs w:val="18"/>
          <w:shd w:val="clear" w:color="auto" w:fill="FFFFFF"/>
          <w:lang w:val="en-US"/>
        </w:rPr>
        <w:t xml:space="preserve">, B. R., </w:t>
      </w:r>
      <w:proofErr w:type="spellStart"/>
      <w:r w:rsidRPr="00703E29">
        <w:rPr>
          <w:color w:val="222222"/>
          <w:szCs w:val="18"/>
          <w:shd w:val="clear" w:color="auto" w:fill="FFFFFF"/>
          <w:lang w:val="en-US"/>
        </w:rPr>
        <w:t>Rademaker</w:t>
      </w:r>
      <w:proofErr w:type="spellEnd"/>
      <w:r w:rsidRPr="00703E29">
        <w:rPr>
          <w:color w:val="222222"/>
          <w:szCs w:val="18"/>
          <w:shd w:val="clear" w:color="auto" w:fill="FFFFFF"/>
          <w:lang w:val="en-US"/>
        </w:rPr>
        <w:t xml:space="preserve">, A. W., </w:t>
      </w:r>
      <w:proofErr w:type="spellStart"/>
      <w:r w:rsidRPr="00703E29">
        <w:rPr>
          <w:color w:val="222222"/>
          <w:szCs w:val="18"/>
          <w:shd w:val="clear" w:color="auto" w:fill="FFFFFF"/>
          <w:lang w:val="en-US"/>
        </w:rPr>
        <w:t>Logemann</w:t>
      </w:r>
      <w:proofErr w:type="spellEnd"/>
      <w:r w:rsidRPr="00703E29">
        <w:rPr>
          <w:color w:val="222222"/>
          <w:szCs w:val="18"/>
          <w:shd w:val="clear" w:color="auto" w:fill="FFFFFF"/>
          <w:lang w:val="en-US"/>
        </w:rPr>
        <w:t xml:space="preserve">, J. A., Lazarus, C. L., Newman, L., </w:t>
      </w:r>
      <w:proofErr w:type="spellStart"/>
      <w:r w:rsidRPr="00703E29">
        <w:rPr>
          <w:color w:val="222222"/>
          <w:szCs w:val="18"/>
          <w:shd w:val="clear" w:color="auto" w:fill="FFFFFF"/>
          <w:lang w:val="en-US"/>
        </w:rPr>
        <w:t>Hamner</w:t>
      </w:r>
      <w:proofErr w:type="spellEnd"/>
      <w:r w:rsidRPr="00703E29">
        <w:rPr>
          <w:color w:val="222222"/>
          <w:szCs w:val="18"/>
          <w:shd w:val="clear" w:color="auto" w:fill="FFFFFF"/>
          <w:lang w:val="en-US"/>
        </w:rPr>
        <w:t xml:space="preserve">, A., ... &amp; </w:t>
      </w:r>
      <w:proofErr w:type="spellStart"/>
      <w:r w:rsidRPr="00703E29">
        <w:rPr>
          <w:color w:val="222222"/>
          <w:szCs w:val="18"/>
          <w:shd w:val="clear" w:color="auto" w:fill="FFFFFF"/>
          <w:lang w:val="en-US"/>
        </w:rPr>
        <w:t>Stachowiak</w:t>
      </w:r>
      <w:proofErr w:type="spellEnd"/>
      <w:r w:rsidRPr="00703E29">
        <w:rPr>
          <w:color w:val="222222"/>
          <w:szCs w:val="18"/>
          <w:shd w:val="clear" w:color="auto" w:fill="FFFFFF"/>
          <w:lang w:val="en-US"/>
        </w:rPr>
        <w:t>, L. (2002). Swallow function and perception of dysphagia in patients with head and neck cancer. </w:t>
      </w:r>
      <w:r w:rsidRPr="00703E29">
        <w:rPr>
          <w:i/>
          <w:iCs/>
          <w:color w:val="222222"/>
          <w:szCs w:val="18"/>
          <w:shd w:val="clear" w:color="auto" w:fill="FFFFFF"/>
        </w:rPr>
        <w:t>Head &amp; neck</w:t>
      </w:r>
      <w:r w:rsidRPr="00703E29">
        <w:rPr>
          <w:color w:val="222222"/>
          <w:szCs w:val="18"/>
          <w:shd w:val="clear" w:color="auto" w:fill="FFFFFF"/>
        </w:rPr>
        <w:t>, </w:t>
      </w:r>
      <w:r w:rsidRPr="00703E29">
        <w:rPr>
          <w:i/>
          <w:iCs/>
          <w:color w:val="222222"/>
          <w:szCs w:val="18"/>
          <w:shd w:val="clear" w:color="auto" w:fill="FFFFFF"/>
        </w:rPr>
        <w:t>24</w:t>
      </w:r>
      <w:r w:rsidRPr="00703E29">
        <w:rPr>
          <w:color w:val="222222"/>
          <w:szCs w:val="18"/>
          <w:shd w:val="clear" w:color="auto" w:fill="FFFFFF"/>
        </w:rPr>
        <w:t>(6), 555-565.</w:t>
      </w:r>
    </w:p>
    <w:p w14:paraId="2A80170D" w14:textId="77777777" w:rsidR="00563E1A" w:rsidRPr="00703E29" w:rsidRDefault="00563E1A" w:rsidP="00703E29">
      <w:pPr>
        <w:spacing w:after="120" w:line="360" w:lineRule="auto"/>
        <w:ind w:left="567" w:hanging="567"/>
        <w:jc w:val="both"/>
        <w:rPr>
          <w:sz w:val="220"/>
        </w:rPr>
      </w:pPr>
      <w:r w:rsidRPr="00703E29">
        <w:rPr>
          <w:color w:val="222222"/>
          <w:szCs w:val="20"/>
          <w:shd w:val="clear" w:color="auto" w:fill="FFFFFF"/>
          <w:lang w:val="en-US"/>
        </w:rPr>
        <w:t xml:space="preserve">Robbins, J., Hamilton, J. W., </w:t>
      </w:r>
      <w:proofErr w:type="spellStart"/>
      <w:r w:rsidRPr="00703E29">
        <w:rPr>
          <w:color w:val="222222"/>
          <w:szCs w:val="20"/>
          <w:shd w:val="clear" w:color="auto" w:fill="FFFFFF"/>
          <w:lang w:val="en-US"/>
        </w:rPr>
        <w:t>Lof</w:t>
      </w:r>
      <w:proofErr w:type="spellEnd"/>
      <w:r w:rsidRPr="00703E29">
        <w:rPr>
          <w:color w:val="222222"/>
          <w:szCs w:val="20"/>
          <w:shd w:val="clear" w:color="auto" w:fill="FFFFFF"/>
          <w:lang w:val="en-US"/>
        </w:rPr>
        <w:t xml:space="preserve">, G. L., &amp; </w:t>
      </w:r>
      <w:proofErr w:type="spellStart"/>
      <w:r w:rsidRPr="00703E29">
        <w:rPr>
          <w:color w:val="222222"/>
          <w:szCs w:val="20"/>
          <w:shd w:val="clear" w:color="auto" w:fill="FFFFFF"/>
          <w:lang w:val="en-US"/>
        </w:rPr>
        <w:t>Kempster</w:t>
      </w:r>
      <w:proofErr w:type="spellEnd"/>
      <w:r w:rsidRPr="00703E29">
        <w:rPr>
          <w:color w:val="222222"/>
          <w:szCs w:val="20"/>
          <w:shd w:val="clear" w:color="auto" w:fill="FFFFFF"/>
          <w:lang w:val="en-US"/>
        </w:rPr>
        <w:t xml:space="preserve">, G. B. (1992). </w:t>
      </w:r>
      <w:r w:rsidRPr="00703E29">
        <w:rPr>
          <w:color w:val="222222"/>
          <w:szCs w:val="20"/>
          <w:shd w:val="clear" w:color="auto" w:fill="FFFFFF"/>
        </w:rPr>
        <w:t>Oropharyngeal swallowing in normal adults of different ages. </w:t>
      </w:r>
      <w:r w:rsidRPr="00703E29">
        <w:rPr>
          <w:i/>
          <w:iCs/>
          <w:color w:val="222222"/>
          <w:szCs w:val="20"/>
          <w:shd w:val="clear" w:color="auto" w:fill="FFFFFF"/>
        </w:rPr>
        <w:t>Gastroenterology</w:t>
      </w:r>
      <w:r w:rsidRPr="00703E29">
        <w:rPr>
          <w:color w:val="222222"/>
          <w:szCs w:val="20"/>
          <w:shd w:val="clear" w:color="auto" w:fill="FFFFFF"/>
        </w:rPr>
        <w:t>, </w:t>
      </w:r>
      <w:r w:rsidRPr="00703E29">
        <w:rPr>
          <w:i/>
          <w:iCs/>
          <w:color w:val="222222"/>
          <w:szCs w:val="20"/>
          <w:shd w:val="clear" w:color="auto" w:fill="FFFFFF"/>
        </w:rPr>
        <w:t>103</w:t>
      </w:r>
      <w:r w:rsidRPr="00703E29">
        <w:rPr>
          <w:color w:val="222222"/>
          <w:szCs w:val="20"/>
          <w:shd w:val="clear" w:color="auto" w:fill="FFFFFF"/>
        </w:rPr>
        <w:t>(3), 823-829.</w:t>
      </w:r>
    </w:p>
    <w:p w14:paraId="0F012012" w14:textId="77777777" w:rsidR="00563E1A" w:rsidRPr="00703E29" w:rsidRDefault="00563E1A" w:rsidP="00703E29">
      <w:pPr>
        <w:spacing w:after="120" w:line="360" w:lineRule="auto"/>
        <w:ind w:left="567" w:hanging="567"/>
        <w:jc w:val="both"/>
        <w:rPr>
          <w:sz w:val="96"/>
          <w:lang w:val="en-US"/>
        </w:rPr>
      </w:pPr>
      <w:r w:rsidRPr="00703E29">
        <w:rPr>
          <w:shd w:val="clear" w:color="auto" w:fill="FFFFFF"/>
          <w:lang w:val="en-US"/>
        </w:rPr>
        <w:t xml:space="preserve">Robbins, J., Levine, R. L., Maser, A., </w:t>
      </w:r>
      <w:proofErr w:type="spellStart"/>
      <w:r w:rsidRPr="00703E29">
        <w:rPr>
          <w:shd w:val="clear" w:color="auto" w:fill="FFFFFF"/>
          <w:lang w:val="en-US"/>
        </w:rPr>
        <w:t>Rosenbek</w:t>
      </w:r>
      <w:proofErr w:type="spellEnd"/>
      <w:r w:rsidRPr="00703E29">
        <w:rPr>
          <w:shd w:val="clear" w:color="auto" w:fill="FFFFFF"/>
          <w:lang w:val="en-US"/>
        </w:rPr>
        <w:t xml:space="preserve">, J. C., &amp; </w:t>
      </w:r>
      <w:proofErr w:type="spellStart"/>
      <w:r w:rsidRPr="00703E29">
        <w:rPr>
          <w:shd w:val="clear" w:color="auto" w:fill="FFFFFF"/>
          <w:lang w:val="en-US"/>
        </w:rPr>
        <w:t>Kempster</w:t>
      </w:r>
      <w:proofErr w:type="spellEnd"/>
      <w:r w:rsidRPr="00703E29">
        <w:rPr>
          <w:shd w:val="clear" w:color="auto" w:fill="FFFFFF"/>
          <w:lang w:val="en-US"/>
        </w:rPr>
        <w:t>, G. B. (1993). Swallowing after unilateral stroke of the cerebral cortex. </w:t>
      </w:r>
      <w:r w:rsidRPr="00703E29">
        <w:rPr>
          <w:i/>
          <w:iCs/>
          <w:shd w:val="clear" w:color="auto" w:fill="FFFFFF"/>
          <w:lang w:val="en-US"/>
        </w:rPr>
        <w:t>Archives of physical medicine and rehabilitation</w:t>
      </w:r>
      <w:r w:rsidRPr="00703E29">
        <w:rPr>
          <w:shd w:val="clear" w:color="auto" w:fill="FFFFFF"/>
          <w:lang w:val="en-US"/>
        </w:rPr>
        <w:t>, </w:t>
      </w:r>
      <w:r w:rsidRPr="00703E29">
        <w:rPr>
          <w:i/>
          <w:iCs/>
          <w:shd w:val="clear" w:color="auto" w:fill="FFFFFF"/>
          <w:lang w:val="en-US"/>
        </w:rPr>
        <w:t>74</w:t>
      </w:r>
      <w:r w:rsidRPr="00703E29">
        <w:rPr>
          <w:shd w:val="clear" w:color="auto" w:fill="FFFFFF"/>
          <w:lang w:val="en-US"/>
        </w:rPr>
        <w:t>(12), 1295-1300.</w:t>
      </w:r>
    </w:p>
    <w:p w14:paraId="39381DEB" w14:textId="77777777" w:rsidR="00563E1A" w:rsidRPr="00703E29" w:rsidRDefault="00563E1A" w:rsidP="00703E29">
      <w:pPr>
        <w:spacing w:after="120" w:line="360" w:lineRule="auto"/>
        <w:ind w:left="567" w:hanging="567"/>
        <w:jc w:val="both"/>
        <w:rPr>
          <w:sz w:val="48"/>
        </w:rPr>
      </w:pPr>
      <w:proofErr w:type="spellStart"/>
      <w:r w:rsidRPr="00703E29">
        <w:rPr>
          <w:shd w:val="clear" w:color="auto" w:fill="FFFFFF"/>
          <w:lang w:val="en-US"/>
        </w:rPr>
        <w:t>Roden</w:t>
      </w:r>
      <w:proofErr w:type="spellEnd"/>
      <w:r w:rsidRPr="00703E29">
        <w:rPr>
          <w:shd w:val="clear" w:color="auto" w:fill="FFFFFF"/>
          <w:lang w:val="en-US"/>
        </w:rPr>
        <w:t>, D. F., &amp; Altman, K. W. (2013). Causes of dysphagia among different age groups: a systematic review of the literature. </w:t>
      </w:r>
      <w:r w:rsidRPr="00703E29">
        <w:rPr>
          <w:i/>
          <w:iCs/>
          <w:shd w:val="clear" w:color="auto" w:fill="FFFFFF"/>
        </w:rPr>
        <w:t>Otolaryngologic Clinics of North America</w:t>
      </w:r>
      <w:r w:rsidRPr="00703E29">
        <w:rPr>
          <w:shd w:val="clear" w:color="auto" w:fill="FFFFFF"/>
        </w:rPr>
        <w:t>, </w:t>
      </w:r>
      <w:r w:rsidRPr="00703E29">
        <w:rPr>
          <w:i/>
          <w:iCs/>
          <w:shd w:val="clear" w:color="auto" w:fill="FFFFFF"/>
        </w:rPr>
        <w:t>46</w:t>
      </w:r>
      <w:r w:rsidRPr="00703E29">
        <w:rPr>
          <w:shd w:val="clear" w:color="auto" w:fill="FFFFFF"/>
        </w:rPr>
        <w:t>(6), 965-987.</w:t>
      </w:r>
    </w:p>
    <w:p w14:paraId="38E08FDF" w14:textId="77777777" w:rsidR="00563E1A" w:rsidRPr="00703E29" w:rsidRDefault="00563E1A" w:rsidP="00703E29">
      <w:pPr>
        <w:spacing w:after="120" w:line="360" w:lineRule="auto"/>
        <w:ind w:left="567" w:hanging="567"/>
        <w:jc w:val="both"/>
        <w:rPr>
          <w:sz w:val="72"/>
          <w:lang w:val="en-US"/>
        </w:rPr>
      </w:pPr>
      <w:proofErr w:type="spellStart"/>
      <w:r w:rsidRPr="00703E29">
        <w:rPr>
          <w:shd w:val="clear" w:color="auto" w:fill="FFFFFF"/>
          <w:lang w:val="en-US"/>
        </w:rPr>
        <w:t>Smithard</w:t>
      </w:r>
      <w:proofErr w:type="spellEnd"/>
      <w:r w:rsidRPr="00703E29">
        <w:rPr>
          <w:shd w:val="clear" w:color="auto" w:fill="FFFFFF"/>
          <w:lang w:val="en-US"/>
        </w:rPr>
        <w:t>, D. G., O'Neill, P. A., England, R. E., Park, C. L., Wyatt, R., Martin, D. F., &amp; Morris, J. (1997). The natural history of dysphagia following a stroke. </w:t>
      </w:r>
      <w:r w:rsidRPr="00703E29">
        <w:rPr>
          <w:i/>
          <w:iCs/>
          <w:shd w:val="clear" w:color="auto" w:fill="FFFFFF"/>
          <w:lang w:val="en-US"/>
        </w:rPr>
        <w:t>Dysphagia</w:t>
      </w:r>
      <w:r w:rsidRPr="00703E29">
        <w:rPr>
          <w:shd w:val="clear" w:color="auto" w:fill="FFFFFF"/>
          <w:lang w:val="en-US"/>
        </w:rPr>
        <w:t>, </w:t>
      </w:r>
      <w:r w:rsidRPr="00703E29">
        <w:rPr>
          <w:i/>
          <w:iCs/>
          <w:shd w:val="clear" w:color="auto" w:fill="FFFFFF"/>
          <w:lang w:val="en-US"/>
        </w:rPr>
        <w:t>12</w:t>
      </w:r>
      <w:r w:rsidRPr="00703E29">
        <w:rPr>
          <w:shd w:val="clear" w:color="auto" w:fill="FFFFFF"/>
          <w:lang w:val="en-US"/>
        </w:rPr>
        <w:t>(4), 188-193.</w:t>
      </w:r>
    </w:p>
    <w:p w14:paraId="19FC2D23" w14:textId="77777777" w:rsidR="00563E1A" w:rsidRPr="00703E29" w:rsidRDefault="00563E1A" w:rsidP="00703E29">
      <w:pPr>
        <w:spacing w:after="120" w:line="360" w:lineRule="auto"/>
        <w:ind w:left="567" w:hanging="567"/>
        <w:jc w:val="both"/>
        <w:rPr>
          <w:sz w:val="144"/>
          <w:lang w:val="en-US"/>
        </w:rPr>
      </w:pPr>
      <w:proofErr w:type="spellStart"/>
      <w:r w:rsidRPr="00703E29">
        <w:rPr>
          <w:color w:val="222222"/>
          <w:szCs w:val="20"/>
          <w:shd w:val="clear" w:color="auto" w:fill="FFFFFF"/>
          <w:lang w:val="en-US"/>
        </w:rPr>
        <w:lastRenderedPageBreak/>
        <w:t>Snowling</w:t>
      </w:r>
      <w:proofErr w:type="spellEnd"/>
      <w:r w:rsidRPr="00703E29">
        <w:rPr>
          <w:color w:val="222222"/>
          <w:szCs w:val="20"/>
          <w:shd w:val="clear" w:color="auto" w:fill="FFFFFF"/>
          <w:lang w:val="en-US"/>
        </w:rPr>
        <w:t xml:space="preserve">, M., Dawes, P., Nash, H., &amp; </w:t>
      </w:r>
      <w:proofErr w:type="spellStart"/>
      <w:r w:rsidRPr="00703E29">
        <w:rPr>
          <w:color w:val="222222"/>
          <w:szCs w:val="20"/>
          <w:shd w:val="clear" w:color="auto" w:fill="FFFFFF"/>
          <w:lang w:val="en-US"/>
        </w:rPr>
        <w:t>Hulme</w:t>
      </w:r>
      <w:proofErr w:type="spellEnd"/>
      <w:r w:rsidRPr="00703E29">
        <w:rPr>
          <w:color w:val="222222"/>
          <w:szCs w:val="20"/>
          <w:shd w:val="clear" w:color="auto" w:fill="FFFFFF"/>
          <w:lang w:val="en-US"/>
        </w:rPr>
        <w:t>, C. (2012). Validity of a protocol for adult self</w:t>
      </w:r>
      <w:r w:rsidRPr="00703E29">
        <w:rPr>
          <w:rFonts w:ascii="Cambria Math" w:hAnsi="Cambria Math"/>
          <w:color w:val="222222"/>
          <w:szCs w:val="20"/>
          <w:shd w:val="clear" w:color="auto" w:fill="FFFFFF"/>
          <w:lang w:val="en-US"/>
        </w:rPr>
        <w:t>‐</w:t>
      </w:r>
      <w:r w:rsidRPr="00703E29">
        <w:rPr>
          <w:color w:val="222222"/>
          <w:szCs w:val="20"/>
          <w:shd w:val="clear" w:color="auto" w:fill="FFFFFF"/>
          <w:lang w:val="en-US"/>
        </w:rPr>
        <w:t>report of dyslexia and related difficulties. </w:t>
      </w:r>
      <w:r w:rsidRPr="00703E29">
        <w:rPr>
          <w:i/>
          <w:iCs/>
          <w:color w:val="222222"/>
          <w:szCs w:val="20"/>
          <w:shd w:val="clear" w:color="auto" w:fill="FFFFFF"/>
        </w:rPr>
        <w:t>Dyslexia</w:t>
      </w:r>
      <w:r w:rsidRPr="00703E29">
        <w:rPr>
          <w:color w:val="222222"/>
          <w:szCs w:val="20"/>
          <w:shd w:val="clear" w:color="auto" w:fill="FFFFFF"/>
        </w:rPr>
        <w:t>, </w:t>
      </w:r>
      <w:r w:rsidRPr="00703E29">
        <w:rPr>
          <w:i/>
          <w:iCs/>
          <w:color w:val="222222"/>
          <w:szCs w:val="20"/>
          <w:shd w:val="clear" w:color="auto" w:fill="FFFFFF"/>
        </w:rPr>
        <w:t>18</w:t>
      </w:r>
      <w:r w:rsidRPr="00703E29">
        <w:rPr>
          <w:color w:val="222222"/>
          <w:szCs w:val="20"/>
          <w:shd w:val="clear" w:color="auto" w:fill="FFFFFF"/>
        </w:rPr>
        <w:t>(1), 1-15.</w:t>
      </w:r>
    </w:p>
    <w:p w14:paraId="7A5C6A5C" w14:textId="77777777" w:rsidR="00563E1A" w:rsidRPr="00890AC7" w:rsidRDefault="00563E1A" w:rsidP="00703E29">
      <w:pPr>
        <w:spacing w:after="120" w:line="360" w:lineRule="auto"/>
        <w:ind w:left="567" w:hanging="567"/>
        <w:jc w:val="both"/>
        <w:rPr>
          <w:sz w:val="144"/>
          <w:lang w:val="el-GR"/>
        </w:rPr>
      </w:pPr>
      <w:proofErr w:type="spellStart"/>
      <w:r w:rsidRPr="00703E29">
        <w:rPr>
          <w:color w:val="222222"/>
          <w:szCs w:val="20"/>
          <w:shd w:val="clear" w:color="auto" w:fill="FFFFFF"/>
          <w:lang w:val="en-US"/>
        </w:rPr>
        <w:t>Sonies</w:t>
      </w:r>
      <w:proofErr w:type="spellEnd"/>
      <w:r w:rsidRPr="00703E29">
        <w:rPr>
          <w:color w:val="222222"/>
          <w:szCs w:val="20"/>
          <w:shd w:val="clear" w:color="auto" w:fill="FFFFFF"/>
          <w:lang w:val="en-US"/>
        </w:rPr>
        <w:t xml:space="preserve">, B. C., Stone, M., &amp; </w:t>
      </w:r>
      <w:proofErr w:type="spellStart"/>
      <w:r w:rsidRPr="00703E29">
        <w:rPr>
          <w:color w:val="222222"/>
          <w:szCs w:val="20"/>
          <w:shd w:val="clear" w:color="auto" w:fill="FFFFFF"/>
          <w:lang w:val="en-US"/>
        </w:rPr>
        <w:t>Shawker</w:t>
      </w:r>
      <w:proofErr w:type="spellEnd"/>
      <w:r w:rsidRPr="00703E29">
        <w:rPr>
          <w:color w:val="222222"/>
          <w:szCs w:val="20"/>
          <w:shd w:val="clear" w:color="auto" w:fill="FFFFFF"/>
          <w:lang w:val="en-US"/>
        </w:rPr>
        <w:t>, T. (1984). Speech and swallowing in the elderly. </w:t>
      </w:r>
      <w:proofErr w:type="spellStart"/>
      <w:r w:rsidRPr="00703E29">
        <w:rPr>
          <w:i/>
          <w:iCs/>
          <w:color w:val="222222"/>
          <w:szCs w:val="20"/>
          <w:shd w:val="clear" w:color="auto" w:fill="FFFFFF"/>
        </w:rPr>
        <w:t>Gerodontology</w:t>
      </w:r>
      <w:proofErr w:type="spellEnd"/>
      <w:r w:rsidRPr="00890AC7">
        <w:rPr>
          <w:color w:val="222222"/>
          <w:szCs w:val="20"/>
          <w:shd w:val="clear" w:color="auto" w:fill="FFFFFF"/>
          <w:lang w:val="el-GR"/>
        </w:rPr>
        <w:t>,</w:t>
      </w:r>
      <w:r w:rsidRPr="00703E29">
        <w:rPr>
          <w:color w:val="222222"/>
          <w:szCs w:val="20"/>
          <w:shd w:val="clear" w:color="auto" w:fill="FFFFFF"/>
        </w:rPr>
        <w:t> </w:t>
      </w:r>
      <w:r w:rsidRPr="00890AC7">
        <w:rPr>
          <w:i/>
          <w:iCs/>
          <w:color w:val="222222"/>
          <w:szCs w:val="20"/>
          <w:shd w:val="clear" w:color="auto" w:fill="FFFFFF"/>
          <w:lang w:val="el-GR"/>
        </w:rPr>
        <w:t>3</w:t>
      </w:r>
      <w:r w:rsidRPr="00890AC7">
        <w:rPr>
          <w:color w:val="222222"/>
          <w:szCs w:val="20"/>
          <w:shd w:val="clear" w:color="auto" w:fill="FFFFFF"/>
          <w:lang w:val="el-GR"/>
        </w:rPr>
        <w:t>(2), 115-123.</w:t>
      </w:r>
    </w:p>
    <w:p w14:paraId="466932AC" w14:textId="77777777" w:rsidR="00A91B3F" w:rsidRPr="009C79EA" w:rsidRDefault="00A91B3F" w:rsidP="001F2C5F">
      <w:pPr>
        <w:pStyle w:val="1"/>
        <w:rPr>
          <w:rFonts w:cs="Times New Roman"/>
          <w:lang w:val="el-GR"/>
        </w:rPr>
      </w:pPr>
      <w:bookmarkStart w:id="67" w:name="_Toc493324003"/>
      <w:r w:rsidRPr="009C79EA">
        <w:rPr>
          <w:rFonts w:cs="Times New Roman"/>
          <w:lang w:val="el-GR"/>
        </w:rPr>
        <w:t xml:space="preserve">Βιβλιογραφία </w:t>
      </w:r>
      <w:proofErr w:type="spellStart"/>
      <w:r w:rsidRPr="009C79EA">
        <w:rPr>
          <w:rFonts w:cs="Times New Roman"/>
          <w:lang w:val="el-GR"/>
        </w:rPr>
        <w:t>Διαδίκτυου</w:t>
      </w:r>
      <w:bookmarkEnd w:id="67"/>
      <w:proofErr w:type="spellEnd"/>
    </w:p>
    <w:p w14:paraId="4CC9D603" w14:textId="77777777" w:rsidR="00B51515" w:rsidRPr="00703E29" w:rsidRDefault="00A91B3F" w:rsidP="00703E29">
      <w:pPr>
        <w:spacing w:after="120" w:line="360" w:lineRule="auto"/>
        <w:ind w:left="567" w:hanging="567"/>
        <w:jc w:val="both"/>
        <w:rPr>
          <w:lang w:val="el-GR"/>
        </w:rPr>
      </w:pPr>
      <w:proofErr w:type="spellStart"/>
      <w:r w:rsidRPr="00890AC7">
        <w:rPr>
          <w:lang w:val="el-GR"/>
        </w:rPr>
        <w:t>Ταφιάδης</w:t>
      </w:r>
      <w:proofErr w:type="spellEnd"/>
      <w:r w:rsidRPr="00890AC7">
        <w:rPr>
          <w:lang w:val="el-GR"/>
        </w:rPr>
        <w:t xml:space="preserve"> Δ. (2015). Κλινική Άσκηση στην Λογοπαθολογία 3. ΤΕΙ Ηπείρου. Διαθέσιμο από: </w:t>
      </w:r>
      <w:hyperlink r:id="rId25" w:history="1">
        <w:r w:rsidRPr="00703E29">
          <w:rPr>
            <w:rStyle w:val="-"/>
          </w:rPr>
          <w:t>http</w:t>
        </w:r>
        <w:r w:rsidRPr="00890AC7">
          <w:rPr>
            <w:rStyle w:val="-"/>
            <w:lang w:val="el-GR"/>
          </w:rPr>
          <w:t>://</w:t>
        </w:r>
        <w:proofErr w:type="spellStart"/>
        <w:r w:rsidRPr="00703E29">
          <w:rPr>
            <w:rStyle w:val="-"/>
          </w:rPr>
          <w:t>eclass</w:t>
        </w:r>
        <w:proofErr w:type="spellEnd"/>
        <w:r w:rsidRPr="00890AC7">
          <w:rPr>
            <w:rStyle w:val="-"/>
            <w:lang w:val="el-GR"/>
          </w:rPr>
          <w:t>.</w:t>
        </w:r>
        <w:proofErr w:type="spellStart"/>
        <w:r w:rsidRPr="00703E29">
          <w:rPr>
            <w:rStyle w:val="-"/>
          </w:rPr>
          <w:t>teiep</w:t>
        </w:r>
        <w:proofErr w:type="spellEnd"/>
        <w:r w:rsidRPr="00890AC7">
          <w:rPr>
            <w:rStyle w:val="-"/>
            <w:lang w:val="el-GR"/>
          </w:rPr>
          <w:t>.</w:t>
        </w:r>
        <w:r w:rsidRPr="00703E29">
          <w:rPr>
            <w:rStyle w:val="-"/>
          </w:rPr>
          <w:t>gr</w:t>
        </w:r>
        <w:r w:rsidRPr="00890AC7">
          <w:rPr>
            <w:rStyle w:val="-"/>
            <w:lang w:val="el-GR"/>
          </w:rPr>
          <w:t>/</w:t>
        </w:r>
        <w:r w:rsidRPr="00703E29">
          <w:rPr>
            <w:rStyle w:val="-"/>
          </w:rPr>
          <w:t>modules</w:t>
        </w:r>
        <w:r w:rsidRPr="00890AC7">
          <w:rPr>
            <w:rStyle w:val="-"/>
            <w:lang w:val="el-GR"/>
          </w:rPr>
          <w:t>/</w:t>
        </w:r>
        <w:r w:rsidRPr="00703E29">
          <w:rPr>
            <w:rStyle w:val="-"/>
          </w:rPr>
          <w:t>document</w:t>
        </w:r>
        <w:r w:rsidRPr="00890AC7">
          <w:rPr>
            <w:rStyle w:val="-"/>
            <w:lang w:val="el-GR"/>
          </w:rPr>
          <w:t>/</w:t>
        </w:r>
        <w:r w:rsidRPr="00703E29">
          <w:rPr>
            <w:rStyle w:val="-"/>
          </w:rPr>
          <w:t>file</w:t>
        </w:r>
        <w:r w:rsidRPr="00890AC7">
          <w:rPr>
            <w:rStyle w:val="-"/>
            <w:lang w:val="el-GR"/>
          </w:rPr>
          <w:t>.</w:t>
        </w:r>
        <w:proofErr w:type="spellStart"/>
        <w:r w:rsidRPr="00703E29">
          <w:rPr>
            <w:rStyle w:val="-"/>
          </w:rPr>
          <w:t>php</w:t>
        </w:r>
        <w:proofErr w:type="spellEnd"/>
        <w:r w:rsidRPr="00890AC7">
          <w:rPr>
            <w:rStyle w:val="-"/>
            <w:lang w:val="el-GR"/>
          </w:rPr>
          <w:t>/</w:t>
        </w:r>
        <w:r w:rsidRPr="00703E29">
          <w:rPr>
            <w:rStyle w:val="-"/>
          </w:rPr>
          <w:t>LOGO</w:t>
        </w:r>
        <w:r w:rsidRPr="00890AC7">
          <w:rPr>
            <w:rStyle w:val="-"/>
            <w:lang w:val="el-GR"/>
          </w:rPr>
          <w:t>137/</w:t>
        </w:r>
      </w:hyperlink>
    </w:p>
    <w:sectPr w:rsidR="00B51515" w:rsidRPr="00703E29" w:rsidSect="0073336A">
      <w:pgSz w:w="11906" w:h="16838"/>
      <w:pgMar w:top="1440" w:right="1440" w:bottom="1440" w:left="1797" w:header="0" w:footer="0"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1EB752" w14:textId="77777777" w:rsidR="00512A7F" w:rsidRDefault="00512A7F" w:rsidP="00691113">
      <w:r>
        <w:separator/>
      </w:r>
    </w:p>
  </w:endnote>
  <w:endnote w:type="continuationSeparator" w:id="0">
    <w:p w14:paraId="600F5A6A" w14:textId="77777777" w:rsidR="00512A7F" w:rsidRDefault="00512A7F" w:rsidP="00691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Droid Sans Fallback">
    <w:altName w:val="Times New Roman"/>
    <w:panose1 w:val="00000000000000000000"/>
    <w:charset w:val="00"/>
    <w:family w:val="roman"/>
    <w:notTrueType/>
    <w:pitch w:val="default"/>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01"/>
    <w:family w:val="swiss"/>
    <w:pitch w:val="variable"/>
  </w:font>
  <w:font w:name="FreeSans">
    <w:panose1 w:val="00000000000000000000"/>
    <w:charset w:val="00"/>
    <w:family w:val="roman"/>
    <w:notTrueType/>
    <w:pitch w:val="default"/>
  </w:font>
  <w:font w:name="Helvetica">
    <w:panose1 w:val="020B0604020202020204"/>
    <w:charset w:val="A1"/>
    <w:family w:val="swiss"/>
    <w:pitch w:val="variable"/>
    <w:sig w:usb0="E0002EFF" w:usb1="C0007843" w:usb2="00000009" w:usb3="00000000" w:csb0="000001FF" w:csb1="00000000"/>
  </w:font>
  <w:font w:name="Arial">
    <w:panose1 w:val="020B0604020202020204"/>
    <w:charset w:val="A1"/>
    <w:family w:val="swiss"/>
    <w:pitch w:val="variable"/>
    <w:sig w:usb0="E0002EFF" w:usb1="C0007843" w:usb2="00000009" w:usb3="00000000" w:csb0="000001FF" w:csb1="00000000"/>
  </w:font>
  <w:font w:name="Cambria Math">
    <w:panose1 w:val="02040503050406030204"/>
    <w:charset w:val="A1"/>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9470857"/>
      <w:docPartObj>
        <w:docPartGallery w:val="Page Numbers (Bottom of Page)"/>
        <w:docPartUnique/>
      </w:docPartObj>
    </w:sdtPr>
    <w:sdtEndPr/>
    <w:sdtContent>
      <w:p w14:paraId="3B1494A8" w14:textId="77777777" w:rsidR="00347D21" w:rsidRDefault="00EA16F3">
        <w:pPr>
          <w:pStyle w:val="ac"/>
          <w:jc w:val="right"/>
        </w:pPr>
      </w:p>
    </w:sdtContent>
  </w:sdt>
  <w:p w14:paraId="1F97CE9E" w14:textId="77777777" w:rsidR="00347D21" w:rsidRDefault="00347D21">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8314319"/>
      <w:docPartObj>
        <w:docPartGallery w:val="Page Numbers (Bottom of Page)"/>
        <w:docPartUnique/>
      </w:docPartObj>
    </w:sdtPr>
    <w:sdtEndPr/>
    <w:sdtContent>
      <w:p w14:paraId="75EB277E" w14:textId="10C24820" w:rsidR="00347D21" w:rsidRDefault="00347D21" w:rsidP="000D6495">
        <w:pPr>
          <w:pStyle w:val="ac"/>
          <w:spacing w:line="480" w:lineRule="auto"/>
          <w:jc w:val="right"/>
        </w:pPr>
        <w:r>
          <w:fldChar w:fldCharType="begin"/>
        </w:r>
        <w:r>
          <w:instrText>PAGE   \* MERGEFORMAT</w:instrText>
        </w:r>
        <w:r>
          <w:fldChar w:fldCharType="separate"/>
        </w:r>
        <w:r w:rsidR="00EA16F3">
          <w:rPr>
            <w:noProof/>
          </w:rPr>
          <w:t>XI</w:t>
        </w:r>
        <w:r>
          <w:fldChar w:fldCharType="end"/>
        </w:r>
      </w:p>
    </w:sdtContent>
  </w:sdt>
  <w:p w14:paraId="59571418" w14:textId="77777777" w:rsidR="00347D21" w:rsidRDefault="00347D21">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3486952"/>
      <w:docPartObj>
        <w:docPartGallery w:val="Page Numbers (Bottom of Page)"/>
        <w:docPartUnique/>
      </w:docPartObj>
    </w:sdtPr>
    <w:sdtEndPr/>
    <w:sdtContent>
      <w:p w14:paraId="3C6F5A85" w14:textId="77CF06E5" w:rsidR="00347D21" w:rsidRDefault="00347D21" w:rsidP="000D6495">
        <w:pPr>
          <w:pStyle w:val="ac"/>
          <w:spacing w:line="480" w:lineRule="auto"/>
          <w:jc w:val="right"/>
        </w:pPr>
        <w:r>
          <w:fldChar w:fldCharType="begin"/>
        </w:r>
        <w:r>
          <w:instrText>PAGE   \* MERGEFORMAT</w:instrText>
        </w:r>
        <w:r>
          <w:fldChar w:fldCharType="separate"/>
        </w:r>
        <w:r w:rsidR="00EA16F3">
          <w:rPr>
            <w:noProof/>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BE0626" w14:textId="77777777" w:rsidR="00512A7F" w:rsidRDefault="00512A7F" w:rsidP="00691113">
      <w:r>
        <w:separator/>
      </w:r>
    </w:p>
  </w:footnote>
  <w:footnote w:type="continuationSeparator" w:id="0">
    <w:p w14:paraId="15EBF13E" w14:textId="77777777" w:rsidR="00512A7F" w:rsidRDefault="00512A7F" w:rsidP="006911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23B67"/>
    <w:multiLevelType w:val="hybridMultilevel"/>
    <w:tmpl w:val="1D500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B87752"/>
    <w:multiLevelType w:val="multilevel"/>
    <w:tmpl w:val="A9B406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25833A4"/>
    <w:multiLevelType w:val="hybridMultilevel"/>
    <w:tmpl w:val="994C92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3C035C5"/>
    <w:multiLevelType w:val="multilevel"/>
    <w:tmpl w:val="014640F4"/>
    <w:lvl w:ilvl="0">
      <w:start w:val="1"/>
      <w:numFmt w:val="bullet"/>
      <w:lvlText w:val=""/>
      <w:lvlJc w:val="left"/>
      <w:pPr>
        <w:ind w:left="757" w:hanging="360"/>
      </w:pPr>
      <w:rPr>
        <w:rFonts w:ascii="Symbol" w:hAnsi="Symbol" w:cs="Symbol" w:hint="default"/>
      </w:rPr>
    </w:lvl>
    <w:lvl w:ilvl="1">
      <w:start w:val="1"/>
      <w:numFmt w:val="bullet"/>
      <w:lvlText w:val="o"/>
      <w:lvlJc w:val="left"/>
      <w:pPr>
        <w:ind w:left="1477" w:hanging="360"/>
      </w:pPr>
      <w:rPr>
        <w:rFonts w:ascii="Courier New" w:hAnsi="Courier New" w:cs="Courier New" w:hint="default"/>
      </w:rPr>
    </w:lvl>
    <w:lvl w:ilvl="2">
      <w:start w:val="1"/>
      <w:numFmt w:val="bullet"/>
      <w:lvlText w:val=""/>
      <w:lvlJc w:val="left"/>
      <w:pPr>
        <w:ind w:left="2197" w:hanging="360"/>
      </w:pPr>
      <w:rPr>
        <w:rFonts w:ascii="Wingdings" w:hAnsi="Wingdings" w:cs="Wingdings" w:hint="default"/>
      </w:rPr>
    </w:lvl>
    <w:lvl w:ilvl="3">
      <w:start w:val="1"/>
      <w:numFmt w:val="bullet"/>
      <w:lvlText w:val=""/>
      <w:lvlJc w:val="left"/>
      <w:pPr>
        <w:ind w:left="2917" w:hanging="360"/>
      </w:pPr>
      <w:rPr>
        <w:rFonts w:ascii="Symbol" w:hAnsi="Symbol" w:cs="Symbol" w:hint="default"/>
      </w:rPr>
    </w:lvl>
    <w:lvl w:ilvl="4">
      <w:start w:val="1"/>
      <w:numFmt w:val="bullet"/>
      <w:lvlText w:val="o"/>
      <w:lvlJc w:val="left"/>
      <w:pPr>
        <w:ind w:left="3637" w:hanging="360"/>
      </w:pPr>
      <w:rPr>
        <w:rFonts w:ascii="Courier New" w:hAnsi="Courier New" w:cs="Courier New" w:hint="default"/>
      </w:rPr>
    </w:lvl>
    <w:lvl w:ilvl="5">
      <w:start w:val="1"/>
      <w:numFmt w:val="bullet"/>
      <w:lvlText w:val=""/>
      <w:lvlJc w:val="left"/>
      <w:pPr>
        <w:ind w:left="4357" w:hanging="360"/>
      </w:pPr>
      <w:rPr>
        <w:rFonts w:ascii="Wingdings" w:hAnsi="Wingdings" w:cs="Wingdings" w:hint="default"/>
      </w:rPr>
    </w:lvl>
    <w:lvl w:ilvl="6">
      <w:start w:val="1"/>
      <w:numFmt w:val="bullet"/>
      <w:lvlText w:val=""/>
      <w:lvlJc w:val="left"/>
      <w:pPr>
        <w:ind w:left="5077" w:hanging="360"/>
      </w:pPr>
      <w:rPr>
        <w:rFonts w:ascii="Symbol" w:hAnsi="Symbol" w:cs="Symbol" w:hint="default"/>
      </w:rPr>
    </w:lvl>
    <w:lvl w:ilvl="7">
      <w:start w:val="1"/>
      <w:numFmt w:val="bullet"/>
      <w:lvlText w:val="o"/>
      <w:lvlJc w:val="left"/>
      <w:pPr>
        <w:ind w:left="5797" w:hanging="360"/>
      </w:pPr>
      <w:rPr>
        <w:rFonts w:ascii="Courier New" w:hAnsi="Courier New" w:cs="Courier New" w:hint="default"/>
      </w:rPr>
    </w:lvl>
    <w:lvl w:ilvl="8">
      <w:start w:val="1"/>
      <w:numFmt w:val="bullet"/>
      <w:lvlText w:val=""/>
      <w:lvlJc w:val="left"/>
      <w:pPr>
        <w:ind w:left="6517" w:hanging="360"/>
      </w:pPr>
      <w:rPr>
        <w:rFonts w:ascii="Wingdings" w:hAnsi="Wingdings" w:cs="Wingdings" w:hint="default"/>
      </w:rPr>
    </w:lvl>
  </w:abstractNum>
  <w:abstractNum w:abstractNumId="4" w15:restartNumberingAfterBreak="0">
    <w:nsid w:val="28F20B83"/>
    <w:multiLevelType w:val="multilevel"/>
    <w:tmpl w:val="C27472D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2AF96029"/>
    <w:multiLevelType w:val="multilevel"/>
    <w:tmpl w:val="80387EE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3BFF74C4"/>
    <w:multiLevelType w:val="multilevel"/>
    <w:tmpl w:val="BF1AF7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405E1ABA"/>
    <w:multiLevelType w:val="hybridMultilevel"/>
    <w:tmpl w:val="1E5E6B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0E42446"/>
    <w:multiLevelType w:val="multilevel"/>
    <w:tmpl w:val="B51A359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47461995"/>
    <w:multiLevelType w:val="multilevel"/>
    <w:tmpl w:val="4C4206A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48B173B4"/>
    <w:multiLevelType w:val="hybridMultilevel"/>
    <w:tmpl w:val="EA5667F2"/>
    <w:lvl w:ilvl="0" w:tplc="6302B7B2">
      <w:start w:val="1"/>
      <w:numFmt w:val="bullet"/>
      <w:lvlText w:val=""/>
      <w:lvlJc w:val="left"/>
      <w:pPr>
        <w:ind w:left="720" w:hanging="360"/>
      </w:pPr>
      <w:rPr>
        <w:rFonts w:ascii="Symbol" w:hAnsi="Symbol" w:hint="default"/>
        <w:sz w:val="24"/>
        <w:szCs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A6B2F4E"/>
    <w:multiLevelType w:val="multilevel"/>
    <w:tmpl w:val="02D4C5C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4C0947E6"/>
    <w:multiLevelType w:val="multilevel"/>
    <w:tmpl w:val="F4E473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F0A7775"/>
    <w:multiLevelType w:val="multilevel"/>
    <w:tmpl w:val="228E0A76"/>
    <w:lvl w:ilvl="0">
      <w:start w:val="1"/>
      <w:numFmt w:val="bullet"/>
      <w:lvlText w:val=""/>
      <w:lvlJc w:val="left"/>
      <w:pPr>
        <w:ind w:left="720" w:hanging="360"/>
      </w:pPr>
      <w:rPr>
        <w:rFonts w:ascii="Symbol" w:hAnsi="Symbol" w:cs="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52136695"/>
    <w:multiLevelType w:val="multilevel"/>
    <w:tmpl w:val="4D4CCFAE"/>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15" w15:restartNumberingAfterBreak="0">
    <w:nsid w:val="52524836"/>
    <w:multiLevelType w:val="multilevel"/>
    <w:tmpl w:val="152A51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56E310A2"/>
    <w:multiLevelType w:val="multilevel"/>
    <w:tmpl w:val="946EB11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6F404805"/>
    <w:multiLevelType w:val="multilevel"/>
    <w:tmpl w:val="3B6AE04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70FA7CB4"/>
    <w:multiLevelType w:val="multilevel"/>
    <w:tmpl w:val="C86C580C"/>
    <w:lvl w:ilvl="0">
      <w:start w:val="1"/>
      <w:numFmt w:val="bullet"/>
      <w:lvlText w:val=""/>
      <w:lvlJc w:val="left"/>
      <w:pPr>
        <w:ind w:left="786" w:hanging="360"/>
      </w:pPr>
      <w:rPr>
        <w:rFonts w:ascii="Symbol" w:hAnsi="Symbol" w:cs="Symbol"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cs="Wingdings" w:hint="default"/>
      </w:rPr>
    </w:lvl>
    <w:lvl w:ilvl="3">
      <w:start w:val="1"/>
      <w:numFmt w:val="bullet"/>
      <w:lvlText w:val=""/>
      <w:lvlJc w:val="left"/>
      <w:pPr>
        <w:ind w:left="2946" w:hanging="360"/>
      </w:pPr>
      <w:rPr>
        <w:rFonts w:ascii="Symbol" w:hAnsi="Symbol" w:cs="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cs="Wingdings" w:hint="default"/>
      </w:rPr>
    </w:lvl>
    <w:lvl w:ilvl="6">
      <w:start w:val="1"/>
      <w:numFmt w:val="bullet"/>
      <w:lvlText w:val=""/>
      <w:lvlJc w:val="left"/>
      <w:pPr>
        <w:ind w:left="5106" w:hanging="360"/>
      </w:pPr>
      <w:rPr>
        <w:rFonts w:ascii="Symbol" w:hAnsi="Symbol" w:cs="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cs="Wingdings" w:hint="default"/>
      </w:rPr>
    </w:lvl>
  </w:abstractNum>
  <w:abstractNum w:abstractNumId="19" w15:restartNumberingAfterBreak="0">
    <w:nsid w:val="777D4BE4"/>
    <w:multiLevelType w:val="hybridMultilevel"/>
    <w:tmpl w:val="80FEF5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A9F70C8"/>
    <w:multiLevelType w:val="multilevel"/>
    <w:tmpl w:val="77E85FF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7E2E09B4"/>
    <w:multiLevelType w:val="multilevel"/>
    <w:tmpl w:val="CFA8112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7F3B49FA"/>
    <w:multiLevelType w:val="multilevel"/>
    <w:tmpl w:val="65C6B3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0"/>
  </w:num>
  <w:num w:numId="2">
    <w:abstractNumId w:val="21"/>
  </w:num>
  <w:num w:numId="3">
    <w:abstractNumId w:val="11"/>
  </w:num>
  <w:num w:numId="4">
    <w:abstractNumId w:val="17"/>
  </w:num>
  <w:num w:numId="5">
    <w:abstractNumId w:val="15"/>
  </w:num>
  <w:num w:numId="6">
    <w:abstractNumId w:val="22"/>
  </w:num>
  <w:num w:numId="7">
    <w:abstractNumId w:val="6"/>
  </w:num>
  <w:num w:numId="8">
    <w:abstractNumId w:val="9"/>
  </w:num>
  <w:num w:numId="9">
    <w:abstractNumId w:val="8"/>
  </w:num>
  <w:num w:numId="10">
    <w:abstractNumId w:val="5"/>
  </w:num>
  <w:num w:numId="11">
    <w:abstractNumId w:val="16"/>
  </w:num>
  <w:num w:numId="12">
    <w:abstractNumId w:val="14"/>
  </w:num>
  <w:num w:numId="13">
    <w:abstractNumId w:val="18"/>
  </w:num>
  <w:num w:numId="14">
    <w:abstractNumId w:val="4"/>
  </w:num>
  <w:num w:numId="15">
    <w:abstractNumId w:val="3"/>
  </w:num>
  <w:num w:numId="16">
    <w:abstractNumId w:val="1"/>
  </w:num>
  <w:num w:numId="17">
    <w:abstractNumId w:val="12"/>
  </w:num>
  <w:num w:numId="18">
    <w:abstractNumId w:val="13"/>
  </w:num>
  <w:num w:numId="19">
    <w:abstractNumId w:val="0"/>
  </w:num>
  <w:num w:numId="20">
    <w:abstractNumId w:val="19"/>
  </w:num>
  <w:num w:numId="21">
    <w:abstractNumId w:val="2"/>
  </w:num>
  <w:num w:numId="22">
    <w:abstractNumId w:val="10"/>
  </w:num>
  <w:num w:numId="23">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5"/>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146CE2"/>
    <w:rsid w:val="00000648"/>
    <w:rsid w:val="00007EC3"/>
    <w:rsid w:val="000264BA"/>
    <w:rsid w:val="00036EA9"/>
    <w:rsid w:val="00040826"/>
    <w:rsid w:val="000676BE"/>
    <w:rsid w:val="00080A6D"/>
    <w:rsid w:val="00086F8D"/>
    <w:rsid w:val="00091B70"/>
    <w:rsid w:val="000A5F76"/>
    <w:rsid w:val="000C045A"/>
    <w:rsid w:val="000C231A"/>
    <w:rsid w:val="000D0F79"/>
    <w:rsid w:val="000D5CC3"/>
    <w:rsid w:val="000D6495"/>
    <w:rsid w:val="000D73A0"/>
    <w:rsid w:val="000E47F6"/>
    <w:rsid w:val="000F30B8"/>
    <w:rsid w:val="000F47F1"/>
    <w:rsid w:val="000F563F"/>
    <w:rsid w:val="000F5B00"/>
    <w:rsid w:val="000F6BBD"/>
    <w:rsid w:val="000F7069"/>
    <w:rsid w:val="000F7FAA"/>
    <w:rsid w:val="001136D4"/>
    <w:rsid w:val="00114AFF"/>
    <w:rsid w:val="00116399"/>
    <w:rsid w:val="00122E36"/>
    <w:rsid w:val="00144030"/>
    <w:rsid w:val="00146CE2"/>
    <w:rsid w:val="00147866"/>
    <w:rsid w:val="00150D9E"/>
    <w:rsid w:val="0016508D"/>
    <w:rsid w:val="00167B65"/>
    <w:rsid w:val="001724AA"/>
    <w:rsid w:val="00174A1A"/>
    <w:rsid w:val="00196BA6"/>
    <w:rsid w:val="001B118C"/>
    <w:rsid w:val="001B260D"/>
    <w:rsid w:val="001B7BBE"/>
    <w:rsid w:val="001C71AF"/>
    <w:rsid w:val="001D36C6"/>
    <w:rsid w:val="001D55EA"/>
    <w:rsid w:val="001D70EF"/>
    <w:rsid w:val="001E124E"/>
    <w:rsid w:val="001E6C0F"/>
    <w:rsid w:val="001F2C5F"/>
    <w:rsid w:val="001F39EA"/>
    <w:rsid w:val="00203AC0"/>
    <w:rsid w:val="00230D3A"/>
    <w:rsid w:val="00231FEA"/>
    <w:rsid w:val="00232CAD"/>
    <w:rsid w:val="00233C35"/>
    <w:rsid w:val="002348A1"/>
    <w:rsid w:val="002457E6"/>
    <w:rsid w:val="00253158"/>
    <w:rsid w:val="00261C89"/>
    <w:rsid w:val="00263CF4"/>
    <w:rsid w:val="00282A9C"/>
    <w:rsid w:val="00284613"/>
    <w:rsid w:val="00291948"/>
    <w:rsid w:val="00294C75"/>
    <w:rsid w:val="002A35F7"/>
    <w:rsid w:val="002B2514"/>
    <w:rsid w:val="002C4B12"/>
    <w:rsid w:val="002C4F88"/>
    <w:rsid w:val="002C67F5"/>
    <w:rsid w:val="002D779E"/>
    <w:rsid w:val="002E2E91"/>
    <w:rsid w:val="002E3503"/>
    <w:rsid w:val="002F3C1E"/>
    <w:rsid w:val="002F741D"/>
    <w:rsid w:val="003118C3"/>
    <w:rsid w:val="00315F4A"/>
    <w:rsid w:val="00322C3B"/>
    <w:rsid w:val="00325E72"/>
    <w:rsid w:val="003268F8"/>
    <w:rsid w:val="0033709A"/>
    <w:rsid w:val="00345872"/>
    <w:rsid w:val="00347D21"/>
    <w:rsid w:val="0035231D"/>
    <w:rsid w:val="00356C37"/>
    <w:rsid w:val="00365D74"/>
    <w:rsid w:val="003803F7"/>
    <w:rsid w:val="00380782"/>
    <w:rsid w:val="00383C2C"/>
    <w:rsid w:val="00384573"/>
    <w:rsid w:val="00384E32"/>
    <w:rsid w:val="003868F4"/>
    <w:rsid w:val="003876A6"/>
    <w:rsid w:val="003922C7"/>
    <w:rsid w:val="003A3148"/>
    <w:rsid w:val="003A65E6"/>
    <w:rsid w:val="003B200E"/>
    <w:rsid w:val="003C1FD9"/>
    <w:rsid w:val="003C25E1"/>
    <w:rsid w:val="003C4388"/>
    <w:rsid w:val="003E0A3E"/>
    <w:rsid w:val="003E4793"/>
    <w:rsid w:val="003E6418"/>
    <w:rsid w:val="00403EE9"/>
    <w:rsid w:val="00414BE0"/>
    <w:rsid w:val="00425753"/>
    <w:rsid w:val="004534C9"/>
    <w:rsid w:val="00454AF2"/>
    <w:rsid w:val="00455D9A"/>
    <w:rsid w:val="00456D14"/>
    <w:rsid w:val="00460052"/>
    <w:rsid w:val="00462F63"/>
    <w:rsid w:val="00465199"/>
    <w:rsid w:val="00472058"/>
    <w:rsid w:val="0047222F"/>
    <w:rsid w:val="00491D8A"/>
    <w:rsid w:val="004A0EAD"/>
    <w:rsid w:val="004D002B"/>
    <w:rsid w:val="004D4CDA"/>
    <w:rsid w:val="004E7E2A"/>
    <w:rsid w:val="004F19B7"/>
    <w:rsid w:val="004F530C"/>
    <w:rsid w:val="00512A7F"/>
    <w:rsid w:val="00513D79"/>
    <w:rsid w:val="005179EF"/>
    <w:rsid w:val="005248AF"/>
    <w:rsid w:val="00532AB0"/>
    <w:rsid w:val="00563E1A"/>
    <w:rsid w:val="00574E91"/>
    <w:rsid w:val="00595038"/>
    <w:rsid w:val="005A305B"/>
    <w:rsid w:val="005A65B1"/>
    <w:rsid w:val="005B2C12"/>
    <w:rsid w:val="005C03F7"/>
    <w:rsid w:val="005C0AE8"/>
    <w:rsid w:val="005C0EF2"/>
    <w:rsid w:val="005C18B1"/>
    <w:rsid w:val="005C25FB"/>
    <w:rsid w:val="005D0950"/>
    <w:rsid w:val="005E0642"/>
    <w:rsid w:val="005E1888"/>
    <w:rsid w:val="005F06F8"/>
    <w:rsid w:val="005F6E2A"/>
    <w:rsid w:val="00606207"/>
    <w:rsid w:val="00606A02"/>
    <w:rsid w:val="00610506"/>
    <w:rsid w:val="006162E9"/>
    <w:rsid w:val="0062666C"/>
    <w:rsid w:val="00633A60"/>
    <w:rsid w:val="00636784"/>
    <w:rsid w:val="00642B1A"/>
    <w:rsid w:val="00646F2B"/>
    <w:rsid w:val="00650CD5"/>
    <w:rsid w:val="006548A5"/>
    <w:rsid w:val="00656117"/>
    <w:rsid w:val="006638E7"/>
    <w:rsid w:val="00681DEB"/>
    <w:rsid w:val="00690DB9"/>
    <w:rsid w:val="00691113"/>
    <w:rsid w:val="00694B95"/>
    <w:rsid w:val="00696434"/>
    <w:rsid w:val="006A6326"/>
    <w:rsid w:val="006A75BD"/>
    <w:rsid w:val="006A7609"/>
    <w:rsid w:val="006B5214"/>
    <w:rsid w:val="006C2342"/>
    <w:rsid w:val="006F25E1"/>
    <w:rsid w:val="006F353A"/>
    <w:rsid w:val="006F5A07"/>
    <w:rsid w:val="00703015"/>
    <w:rsid w:val="00703E29"/>
    <w:rsid w:val="00713A51"/>
    <w:rsid w:val="00714747"/>
    <w:rsid w:val="00714EE5"/>
    <w:rsid w:val="00720240"/>
    <w:rsid w:val="00731312"/>
    <w:rsid w:val="0073336A"/>
    <w:rsid w:val="0073735C"/>
    <w:rsid w:val="007443D0"/>
    <w:rsid w:val="007515A3"/>
    <w:rsid w:val="00754517"/>
    <w:rsid w:val="00762F54"/>
    <w:rsid w:val="00763A97"/>
    <w:rsid w:val="00770A54"/>
    <w:rsid w:val="00770C20"/>
    <w:rsid w:val="00790D04"/>
    <w:rsid w:val="007B1970"/>
    <w:rsid w:val="007B7F67"/>
    <w:rsid w:val="007C261C"/>
    <w:rsid w:val="007C5E4C"/>
    <w:rsid w:val="007C5F67"/>
    <w:rsid w:val="007C6DDC"/>
    <w:rsid w:val="007C6E64"/>
    <w:rsid w:val="007D50BC"/>
    <w:rsid w:val="007D5863"/>
    <w:rsid w:val="007D60E0"/>
    <w:rsid w:val="007F13FD"/>
    <w:rsid w:val="00803347"/>
    <w:rsid w:val="00805A29"/>
    <w:rsid w:val="008214C3"/>
    <w:rsid w:val="00834812"/>
    <w:rsid w:val="00845A70"/>
    <w:rsid w:val="00847F2F"/>
    <w:rsid w:val="00857727"/>
    <w:rsid w:val="00857B26"/>
    <w:rsid w:val="00860762"/>
    <w:rsid w:val="00865758"/>
    <w:rsid w:val="00871589"/>
    <w:rsid w:val="00885249"/>
    <w:rsid w:val="00886532"/>
    <w:rsid w:val="008879C7"/>
    <w:rsid w:val="00890AC7"/>
    <w:rsid w:val="008946C7"/>
    <w:rsid w:val="008A160F"/>
    <w:rsid w:val="008A3DF9"/>
    <w:rsid w:val="008A6984"/>
    <w:rsid w:val="008A789C"/>
    <w:rsid w:val="008B16D2"/>
    <w:rsid w:val="008B404C"/>
    <w:rsid w:val="008D3C4C"/>
    <w:rsid w:val="008D4371"/>
    <w:rsid w:val="008D7286"/>
    <w:rsid w:val="008E6F56"/>
    <w:rsid w:val="008F2E17"/>
    <w:rsid w:val="008F3933"/>
    <w:rsid w:val="00900FDA"/>
    <w:rsid w:val="009023EE"/>
    <w:rsid w:val="0093083B"/>
    <w:rsid w:val="009427EB"/>
    <w:rsid w:val="00942ADE"/>
    <w:rsid w:val="009466B2"/>
    <w:rsid w:val="00950F26"/>
    <w:rsid w:val="00951ED4"/>
    <w:rsid w:val="00953D1A"/>
    <w:rsid w:val="00954351"/>
    <w:rsid w:val="00955E07"/>
    <w:rsid w:val="009671A9"/>
    <w:rsid w:val="00967501"/>
    <w:rsid w:val="00983548"/>
    <w:rsid w:val="009871C1"/>
    <w:rsid w:val="009A2D05"/>
    <w:rsid w:val="009A5C69"/>
    <w:rsid w:val="009A7330"/>
    <w:rsid w:val="009C669C"/>
    <w:rsid w:val="009C7960"/>
    <w:rsid w:val="009C79EA"/>
    <w:rsid w:val="009D1BFC"/>
    <w:rsid w:val="009D64B1"/>
    <w:rsid w:val="009E4094"/>
    <w:rsid w:val="009F0BBA"/>
    <w:rsid w:val="009F682D"/>
    <w:rsid w:val="00A01B51"/>
    <w:rsid w:val="00A11DF4"/>
    <w:rsid w:val="00A12F94"/>
    <w:rsid w:val="00A20529"/>
    <w:rsid w:val="00A21903"/>
    <w:rsid w:val="00A22310"/>
    <w:rsid w:val="00A25D60"/>
    <w:rsid w:val="00A31B88"/>
    <w:rsid w:val="00A32C16"/>
    <w:rsid w:val="00A37F68"/>
    <w:rsid w:val="00A53327"/>
    <w:rsid w:val="00A57A0A"/>
    <w:rsid w:val="00A774FA"/>
    <w:rsid w:val="00A77B6B"/>
    <w:rsid w:val="00A87AEA"/>
    <w:rsid w:val="00A91B3F"/>
    <w:rsid w:val="00A95CF3"/>
    <w:rsid w:val="00A97A7C"/>
    <w:rsid w:val="00AA4CD6"/>
    <w:rsid w:val="00AB0463"/>
    <w:rsid w:val="00AB13C9"/>
    <w:rsid w:val="00AB3CBC"/>
    <w:rsid w:val="00AB58A7"/>
    <w:rsid w:val="00AC02D7"/>
    <w:rsid w:val="00AD08B8"/>
    <w:rsid w:val="00AD4239"/>
    <w:rsid w:val="00AD759A"/>
    <w:rsid w:val="00AE1DB9"/>
    <w:rsid w:val="00AE484D"/>
    <w:rsid w:val="00B037D4"/>
    <w:rsid w:val="00B063E7"/>
    <w:rsid w:val="00B131D1"/>
    <w:rsid w:val="00B16203"/>
    <w:rsid w:val="00B3441E"/>
    <w:rsid w:val="00B34A3B"/>
    <w:rsid w:val="00B4318E"/>
    <w:rsid w:val="00B44FD8"/>
    <w:rsid w:val="00B51515"/>
    <w:rsid w:val="00B6035F"/>
    <w:rsid w:val="00B62B31"/>
    <w:rsid w:val="00B72736"/>
    <w:rsid w:val="00B72804"/>
    <w:rsid w:val="00B9446B"/>
    <w:rsid w:val="00B960D8"/>
    <w:rsid w:val="00BB2547"/>
    <w:rsid w:val="00BB5933"/>
    <w:rsid w:val="00BB6D99"/>
    <w:rsid w:val="00BC358C"/>
    <w:rsid w:val="00BD0653"/>
    <w:rsid w:val="00BD09E3"/>
    <w:rsid w:val="00BE3405"/>
    <w:rsid w:val="00BF0161"/>
    <w:rsid w:val="00C0453C"/>
    <w:rsid w:val="00C073B4"/>
    <w:rsid w:val="00C17768"/>
    <w:rsid w:val="00C2485B"/>
    <w:rsid w:val="00C30C96"/>
    <w:rsid w:val="00C36291"/>
    <w:rsid w:val="00C5439D"/>
    <w:rsid w:val="00C62A25"/>
    <w:rsid w:val="00C71A58"/>
    <w:rsid w:val="00C71E0B"/>
    <w:rsid w:val="00C73C61"/>
    <w:rsid w:val="00C800C5"/>
    <w:rsid w:val="00C84D85"/>
    <w:rsid w:val="00C86B0B"/>
    <w:rsid w:val="00CA2412"/>
    <w:rsid w:val="00CC2EE1"/>
    <w:rsid w:val="00CC4CE4"/>
    <w:rsid w:val="00CD1E63"/>
    <w:rsid w:val="00CD6BE2"/>
    <w:rsid w:val="00CE08E7"/>
    <w:rsid w:val="00CF34A9"/>
    <w:rsid w:val="00D00938"/>
    <w:rsid w:val="00D104C9"/>
    <w:rsid w:val="00D12E1E"/>
    <w:rsid w:val="00D17D31"/>
    <w:rsid w:val="00D21334"/>
    <w:rsid w:val="00D24027"/>
    <w:rsid w:val="00D26F4D"/>
    <w:rsid w:val="00D32DA2"/>
    <w:rsid w:val="00D52750"/>
    <w:rsid w:val="00D661F1"/>
    <w:rsid w:val="00D70948"/>
    <w:rsid w:val="00D932F0"/>
    <w:rsid w:val="00D979B3"/>
    <w:rsid w:val="00DA4172"/>
    <w:rsid w:val="00DB0AA3"/>
    <w:rsid w:val="00DB7602"/>
    <w:rsid w:val="00DC1136"/>
    <w:rsid w:val="00DD0701"/>
    <w:rsid w:val="00DD34FA"/>
    <w:rsid w:val="00DD3FDA"/>
    <w:rsid w:val="00DD5D8D"/>
    <w:rsid w:val="00DE400E"/>
    <w:rsid w:val="00DE6A4C"/>
    <w:rsid w:val="00DF1D82"/>
    <w:rsid w:val="00DF2BF4"/>
    <w:rsid w:val="00DF56AF"/>
    <w:rsid w:val="00E04BB1"/>
    <w:rsid w:val="00E22DBE"/>
    <w:rsid w:val="00E27121"/>
    <w:rsid w:val="00E32B03"/>
    <w:rsid w:val="00E4017E"/>
    <w:rsid w:val="00E46F1C"/>
    <w:rsid w:val="00E52BF8"/>
    <w:rsid w:val="00E60943"/>
    <w:rsid w:val="00E70A36"/>
    <w:rsid w:val="00E76A9B"/>
    <w:rsid w:val="00E81C15"/>
    <w:rsid w:val="00E84376"/>
    <w:rsid w:val="00E85B07"/>
    <w:rsid w:val="00EA16F3"/>
    <w:rsid w:val="00EB78C0"/>
    <w:rsid w:val="00EC4DDA"/>
    <w:rsid w:val="00EC4EB6"/>
    <w:rsid w:val="00EC7396"/>
    <w:rsid w:val="00ED1FD4"/>
    <w:rsid w:val="00ED7EFC"/>
    <w:rsid w:val="00EE316F"/>
    <w:rsid w:val="00F04081"/>
    <w:rsid w:val="00F14B53"/>
    <w:rsid w:val="00F22359"/>
    <w:rsid w:val="00F2442E"/>
    <w:rsid w:val="00F25A0F"/>
    <w:rsid w:val="00F36307"/>
    <w:rsid w:val="00F4268F"/>
    <w:rsid w:val="00F446F6"/>
    <w:rsid w:val="00F46CFA"/>
    <w:rsid w:val="00F53EC5"/>
    <w:rsid w:val="00F562C6"/>
    <w:rsid w:val="00F60D00"/>
    <w:rsid w:val="00F62712"/>
    <w:rsid w:val="00F62A99"/>
    <w:rsid w:val="00F7475A"/>
    <w:rsid w:val="00F90BF7"/>
    <w:rsid w:val="00F92D0D"/>
    <w:rsid w:val="00FB1CF7"/>
    <w:rsid w:val="00FB35F9"/>
    <w:rsid w:val="00FD2D86"/>
    <w:rsid w:val="00FD4D55"/>
    <w:rsid w:val="00FE500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E4EFC8"/>
  <w15:docId w15:val="{966E38EA-8BC1-4954-BD08-81840C1AB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roid Sans Fallback" w:hAnsi="Calibri" w:cs="Times New Roman"/>
        <w:sz w:val="22"/>
        <w:szCs w:val="22"/>
        <w:lang w:val="el-GR" w:eastAsia="el-GR"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atentStyles>
  <w:style w:type="paragraph" w:default="1" w:styleId="a">
    <w:name w:val="Normal"/>
    <w:qFormat/>
    <w:rsid w:val="00454AF2"/>
    <w:pPr>
      <w:spacing w:line="240" w:lineRule="auto"/>
    </w:pPr>
    <w:rPr>
      <w:rFonts w:ascii="Times New Roman" w:hAnsi="Times New Roman"/>
      <w:sz w:val="24"/>
      <w:szCs w:val="24"/>
      <w:lang w:val="en-GB" w:eastAsia="en-GB"/>
    </w:rPr>
  </w:style>
  <w:style w:type="paragraph" w:styleId="1">
    <w:name w:val="heading 1"/>
    <w:basedOn w:val="a"/>
    <w:next w:val="a"/>
    <w:link w:val="1Char1"/>
    <w:uiPriority w:val="9"/>
    <w:qFormat/>
    <w:rsid w:val="001F2C5F"/>
    <w:pPr>
      <w:keepNext/>
      <w:keepLines/>
      <w:spacing w:before="240" w:line="276" w:lineRule="auto"/>
      <w:jc w:val="both"/>
      <w:outlineLvl w:val="0"/>
    </w:pPr>
    <w:rPr>
      <w:rFonts w:eastAsiaTheme="majorEastAsia" w:cstheme="majorBidi"/>
      <w:b/>
      <w:sz w:val="32"/>
      <w:szCs w:val="32"/>
      <w:lang w:val="en-US" w:eastAsia="en-US"/>
    </w:rPr>
  </w:style>
  <w:style w:type="paragraph" w:styleId="2">
    <w:name w:val="heading 2"/>
    <w:basedOn w:val="a"/>
    <w:next w:val="a"/>
    <w:link w:val="2Char"/>
    <w:uiPriority w:val="9"/>
    <w:unhideWhenUsed/>
    <w:qFormat/>
    <w:rsid w:val="00D32DA2"/>
    <w:pPr>
      <w:keepNext/>
      <w:keepLines/>
      <w:spacing w:before="320" w:after="120" w:line="276" w:lineRule="auto"/>
      <w:jc w:val="both"/>
      <w:outlineLvl w:val="1"/>
    </w:pPr>
    <w:rPr>
      <w:rFonts w:eastAsiaTheme="majorEastAsia" w:cstheme="majorBidi"/>
      <w:bCs/>
      <w:szCs w:val="26"/>
      <w:lang w:val="el-GR" w:eastAsia="en-US"/>
    </w:rPr>
  </w:style>
  <w:style w:type="paragraph" w:styleId="3">
    <w:name w:val="heading 3"/>
    <w:basedOn w:val="a"/>
    <w:next w:val="a"/>
    <w:link w:val="3Char"/>
    <w:uiPriority w:val="9"/>
    <w:unhideWhenUsed/>
    <w:qFormat/>
    <w:rsid w:val="002C67F5"/>
    <w:pPr>
      <w:keepNext/>
      <w:keepLines/>
      <w:spacing w:before="200" w:line="276" w:lineRule="auto"/>
      <w:outlineLvl w:val="2"/>
    </w:pPr>
    <w:rPr>
      <w:rFonts w:asciiTheme="majorHAnsi" w:eastAsiaTheme="majorEastAsia" w:hAnsiTheme="majorHAnsi" w:cstheme="majorBidi"/>
      <w:b/>
      <w:bCs/>
      <w:color w:val="4F81BD" w:themeColor="accent1"/>
      <w:sz w:val="22"/>
      <w:szCs w:val="22"/>
      <w:lang w:val="el-GR" w:eastAsia="en-US"/>
    </w:rPr>
  </w:style>
  <w:style w:type="paragraph" w:styleId="4">
    <w:name w:val="heading 4"/>
    <w:basedOn w:val="a"/>
    <w:next w:val="a"/>
    <w:link w:val="4Char"/>
    <w:uiPriority w:val="9"/>
    <w:unhideWhenUsed/>
    <w:qFormat/>
    <w:rsid w:val="002C67F5"/>
    <w:pPr>
      <w:keepNext/>
      <w:keepLines/>
      <w:spacing w:before="40" w:line="259" w:lineRule="auto"/>
      <w:outlineLvl w:val="3"/>
    </w:pPr>
    <w:rPr>
      <w:rFonts w:asciiTheme="majorHAnsi" w:eastAsiaTheme="majorEastAsia" w:hAnsiTheme="majorHAnsi" w:cstheme="majorBidi"/>
      <w:i/>
      <w:iCs/>
      <w:color w:val="365F91" w:themeColor="accent1" w:themeShade="BF"/>
      <w:sz w:val="22"/>
      <w:szCs w:val="22"/>
      <w:lang w:val="el-GR" w:eastAsia="en-US"/>
    </w:rPr>
  </w:style>
  <w:style w:type="paragraph" w:styleId="5">
    <w:name w:val="heading 5"/>
    <w:basedOn w:val="a"/>
    <w:next w:val="a"/>
    <w:link w:val="5Char"/>
    <w:uiPriority w:val="9"/>
    <w:unhideWhenUsed/>
    <w:qFormat/>
    <w:rsid w:val="002C67F5"/>
    <w:pPr>
      <w:keepNext/>
      <w:keepLines/>
      <w:spacing w:before="40" w:line="259" w:lineRule="auto"/>
      <w:outlineLvl w:val="4"/>
    </w:pPr>
    <w:rPr>
      <w:rFonts w:asciiTheme="majorHAnsi" w:eastAsiaTheme="majorEastAsia" w:hAnsiTheme="majorHAnsi" w:cstheme="majorBidi"/>
      <w:color w:val="365F91" w:themeColor="accent1" w:themeShade="BF"/>
      <w:sz w:val="22"/>
      <w:szCs w:val="22"/>
      <w:lang w:val="el-GR" w:eastAsia="en-US"/>
    </w:rPr>
  </w:style>
  <w:style w:type="paragraph" w:styleId="6">
    <w:name w:val="heading 6"/>
    <w:basedOn w:val="a"/>
    <w:next w:val="a"/>
    <w:link w:val="6Char"/>
    <w:uiPriority w:val="9"/>
    <w:unhideWhenUsed/>
    <w:qFormat/>
    <w:rsid w:val="002C67F5"/>
    <w:pPr>
      <w:keepNext/>
      <w:keepLines/>
      <w:spacing w:before="40" w:line="259" w:lineRule="auto"/>
      <w:outlineLvl w:val="5"/>
    </w:pPr>
    <w:rPr>
      <w:rFonts w:asciiTheme="majorHAnsi" w:eastAsiaTheme="majorEastAsia" w:hAnsiTheme="majorHAnsi" w:cstheme="majorBidi"/>
      <w:color w:val="243F60" w:themeColor="accent1" w:themeShade="7F"/>
      <w:sz w:val="22"/>
      <w:szCs w:val="22"/>
      <w:lang w:val="el-GR" w:eastAsia="en-US"/>
    </w:rPr>
  </w:style>
  <w:style w:type="paragraph" w:styleId="7">
    <w:name w:val="heading 7"/>
    <w:basedOn w:val="a"/>
    <w:next w:val="a"/>
    <w:link w:val="7Char"/>
    <w:uiPriority w:val="9"/>
    <w:unhideWhenUsed/>
    <w:qFormat/>
    <w:rsid w:val="002C67F5"/>
    <w:pPr>
      <w:keepNext/>
      <w:keepLines/>
      <w:spacing w:before="40" w:line="259" w:lineRule="auto"/>
      <w:outlineLvl w:val="6"/>
    </w:pPr>
    <w:rPr>
      <w:rFonts w:asciiTheme="majorHAnsi" w:eastAsiaTheme="majorEastAsia" w:hAnsiTheme="majorHAnsi" w:cstheme="majorBidi"/>
      <w:i/>
      <w:iCs/>
      <w:color w:val="243F60" w:themeColor="accent1" w:themeShade="7F"/>
      <w:sz w:val="22"/>
      <w:szCs w:val="22"/>
      <w:lang w:val="el-GR" w:eastAsia="en-US"/>
    </w:rPr>
  </w:style>
  <w:style w:type="paragraph" w:styleId="8">
    <w:name w:val="heading 8"/>
    <w:basedOn w:val="a"/>
    <w:next w:val="a"/>
    <w:link w:val="8Char"/>
    <w:uiPriority w:val="9"/>
    <w:unhideWhenUsed/>
    <w:qFormat/>
    <w:rsid w:val="002C67F5"/>
    <w:pPr>
      <w:keepNext/>
      <w:keepLines/>
      <w:spacing w:before="40" w:line="259" w:lineRule="auto"/>
      <w:outlineLvl w:val="7"/>
    </w:pPr>
    <w:rPr>
      <w:rFonts w:asciiTheme="majorHAnsi" w:eastAsiaTheme="majorEastAsia" w:hAnsiTheme="majorHAnsi" w:cstheme="majorBidi"/>
      <w:color w:val="272727" w:themeColor="text1" w:themeTint="D8"/>
      <w:sz w:val="21"/>
      <w:szCs w:val="21"/>
      <w:lang w:val="el-GR" w:eastAsia="en-US"/>
    </w:rPr>
  </w:style>
  <w:style w:type="paragraph" w:styleId="9">
    <w:name w:val="heading 9"/>
    <w:basedOn w:val="a"/>
    <w:next w:val="a"/>
    <w:link w:val="9Char"/>
    <w:uiPriority w:val="9"/>
    <w:unhideWhenUsed/>
    <w:qFormat/>
    <w:rsid w:val="002C67F5"/>
    <w:pPr>
      <w:keepNext/>
      <w:keepLines/>
      <w:spacing w:before="40" w:line="259" w:lineRule="auto"/>
      <w:outlineLvl w:val="8"/>
    </w:pPr>
    <w:rPr>
      <w:rFonts w:asciiTheme="majorHAnsi" w:eastAsiaTheme="majorEastAsia" w:hAnsiTheme="majorHAnsi" w:cstheme="majorBidi"/>
      <w:i/>
      <w:iCs/>
      <w:color w:val="272727" w:themeColor="text1" w:themeTint="D8"/>
      <w:sz w:val="21"/>
      <w:szCs w:val="21"/>
      <w:lang w:val="el-GR"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1">
    <w:name w:val="Επικεφαλίδα 1 Char1"/>
    <w:basedOn w:val="a0"/>
    <w:link w:val="1"/>
    <w:uiPriority w:val="9"/>
    <w:rsid w:val="001F2C5F"/>
    <w:rPr>
      <w:rFonts w:ascii="Times New Roman" w:eastAsiaTheme="majorEastAsia" w:hAnsi="Times New Roman" w:cstheme="majorBidi"/>
      <w:b/>
      <w:sz w:val="32"/>
      <w:szCs w:val="32"/>
      <w:lang w:val="en-US" w:eastAsia="en-US"/>
    </w:rPr>
  </w:style>
  <w:style w:type="character" w:customStyle="1" w:styleId="2Char">
    <w:name w:val="Επικεφαλίδα 2 Char"/>
    <w:basedOn w:val="a0"/>
    <w:link w:val="2"/>
    <w:uiPriority w:val="9"/>
    <w:rsid w:val="00D32DA2"/>
    <w:rPr>
      <w:rFonts w:ascii="Times New Roman" w:eastAsiaTheme="majorEastAsia" w:hAnsi="Times New Roman" w:cstheme="majorBidi"/>
      <w:bCs/>
      <w:sz w:val="24"/>
      <w:szCs w:val="26"/>
      <w:lang w:eastAsia="en-US"/>
    </w:rPr>
  </w:style>
  <w:style w:type="character" w:customStyle="1" w:styleId="3Char">
    <w:name w:val="Επικεφαλίδα 3 Char"/>
    <w:basedOn w:val="a0"/>
    <w:link w:val="3"/>
    <w:uiPriority w:val="9"/>
    <w:rsid w:val="002C67F5"/>
    <w:rPr>
      <w:rFonts w:asciiTheme="majorHAnsi" w:eastAsiaTheme="majorEastAsia" w:hAnsiTheme="majorHAnsi" w:cstheme="majorBidi"/>
      <w:b/>
      <w:bCs/>
      <w:color w:val="4F81BD" w:themeColor="accent1"/>
      <w:lang w:eastAsia="en-US"/>
    </w:rPr>
  </w:style>
  <w:style w:type="character" w:customStyle="1" w:styleId="4Char">
    <w:name w:val="Επικεφαλίδα 4 Char"/>
    <w:basedOn w:val="a0"/>
    <w:link w:val="4"/>
    <w:uiPriority w:val="9"/>
    <w:rsid w:val="002C67F5"/>
    <w:rPr>
      <w:rFonts w:asciiTheme="majorHAnsi" w:eastAsiaTheme="majorEastAsia" w:hAnsiTheme="majorHAnsi" w:cstheme="majorBidi"/>
      <w:i/>
      <w:iCs/>
      <w:color w:val="365F91" w:themeColor="accent1" w:themeShade="BF"/>
      <w:lang w:eastAsia="en-US"/>
    </w:rPr>
  </w:style>
  <w:style w:type="character" w:customStyle="1" w:styleId="5Char">
    <w:name w:val="Επικεφαλίδα 5 Char"/>
    <w:basedOn w:val="a0"/>
    <w:link w:val="5"/>
    <w:uiPriority w:val="9"/>
    <w:rsid w:val="002C67F5"/>
    <w:rPr>
      <w:rFonts w:asciiTheme="majorHAnsi" w:eastAsiaTheme="majorEastAsia" w:hAnsiTheme="majorHAnsi" w:cstheme="majorBidi"/>
      <w:color w:val="365F91" w:themeColor="accent1" w:themeShade="BF"/>
      <w:lang w:eastAsia="en-US"/>
    </w:rPr>
  </w:style>
  <w:style w:type="character" w:customStyle="1" w:styleId="6Char">
    <w:name w:val="Επικεφαλίδα 6 Char"/>
    <w:basedOn w:val="a0"/>
    <w:link w:val="6"/>
    <w:uiPriority w:val="9"/>
    <w:rsid w:val="002C67F5"/>
    <w:rPr>
      <w:rFonts w:asciiTheme="majorHAnsi" w:eastAsiaTheme="majorEastAsia" w:hAnsiTheme="majorHAnsi" w:cstheme="majorBidi"/>
      <w:color w:val="243F60" w:themeColor="accent1" w:themeShade="7F"/>
      <w:lang w:eastAsia="en-US"/>
    </w:rPr>
  </w:style>
  <w:style w:type="character" w:customStyle="1" w:styleId="7Char">
    <w:name w:val="Επικεφαλίδα 7 Char"/>
    <w:basedOn w:val="a0"/>
    <w:link w:val="7"/>
    <w:uiPriority w:val="9"/>
    <w:rsid w:val="002C67F5"/>
    <w:rPr>
      <w:rFonts w:asciiTheme="majorHAnsi" w:eastAsiaTheme="majorEastAsia" w:hAnsiTheme="majorHAnsi" w:cstheme="majorBidi"/>
      <w:i/>
      <w:iCs/>
      <w:color w:val="243F60" w:themeColor="accent1" w:themeShade="7F"/>
      <w:lang w:eastAsia="en-US"/>
    </w:rPr>
  </w:style>
  <w:style w:type="character" w:customStyle="1" w:styleId="8Char">
    <w:name w:val="Επικεφαλίδα 8 Char"/>
    <w:basedOn w:val="a0"/>
    <w:link w:val="8"/>
    <w:uiPriority w:val="9"/>
    <w:rsid w:val="002C67F5"/>
    <w:rPr>
      <w:rFonts w:asciiTheme="majorHAnsi" w:eastAsiaTheme="majorEastAsia" w:hAnsiTheme="majorHAnsi" w:cstheme="majorBidi"/>
      <w:color w:val="272727" w:themeColor="text1" w:themeTint="D8"/>
      <w:sz w:val="21"/>
      <w:szCs w:val="21"/>
      <w:lang w:eastAsia="en-US"/>
    </w:rPr>
  </w:style>
  <w:style w:type="character" w:customStyle="1" w:styleId="9Char">
    <w:name w:val="Επικεφαλίδα 9 Char"/>
    <w:basedOn w:val="a0"/>
    <w:link w:val="9"/>
    <w:uiPriority w:val="9"/>
    <w:rsid w:val="002C67F5"/>
    <w:rPr>
      <w:rFonts w:asciiTheme="majorHAnsi" w:eastAsiaTheme="majorEastAsia" w:hAnsiTheme="majorHAnsi" w:cstheme="majorBidi"/>
      <w:i/>
      <w:iCs/>
      <w:color w:val="272727" w:themeColor="text1" w:themeTint="D8"/>
      <w:sz w:val="21"/>
      <w:szCs w:val="21"/>
      <w:lang w:eastAsia="en-US"/>
    </w:rPr>
  </w:style>
  <w:style w:type="paragraph" w:customStyle="1" w:styleId="11">
    <w:name w:val="Επικεφαλίδα 11"/>
    <w:basedOn w:val="a"/>
    <w:link w:val="1Char"/>
    <w:uiPriority w:val="9"/>
    <w:qFormat/>
    <w:rsid w:val="00103411"/>
    <w:pPr>
      <w:keepNext/>
      <w:keepLines/>
      <w:suppressAutoHyphens/>
      <w:spacing w:before="480" w:line="276" w:lineRule="auto"/>
      <w:outlineLvl w:val="0"/>
    </w:pPr>
    <w:rPr>
      <w:rFonts w:ascii="Cambria" w:hAnsi="Cambria"/>
      <w:b/>
      <w:bCs/>
      <w:color w:val="365F91"/>
      <w:sz w:val="28"/>
      <w:szCs w:val="28"/>
      <w:lang w:val="el-GR" w:eastAsia="el-GR"/>
    </w:rPr>
  </w:style>
  <w:style w:type="character" w:customStyle="1" w:styleId="1Char">
    <w:name w:val="Επικεφαλίδα 1 Char"/>
    <w:basedOn w:val="a0"/>
    <w:link w:val="11"/>
    <w:uiPriority w:val="9"/>
    <w:rsid w:val="00103411"/>
    <w:rPr>
      <w:rFonts w:ascii="Cambria" w:hAnsi="Cambria"/>
      <w:b/>
      <w:bCs/>
      <w:color w:val="365F91"/>
      <w:sz w:val="28"/>
      <w:szCs w:val="28"/>
    </w:rPr>
  </w:style>
  <w:style w:type="character" w:customStyle="1" w:styleId="Char">
    <w:name w:val="Κείμενο πλαισίου Char"/>
    <w:basedOn w:val="a0"/>
    <w:link w:val="a3"/>
    <w:uiPriority w:val="99"/>
    <w:semiHidden/>
    <w:rsid w:val="00D015F0"/>
    <w:rPr>
      <w:rFonts w:ascii="Tahoma" w:hAnsi="Tahoma" w:cs="Tahoma"/>
      <w:sz w:val="16"/>
      <w:szCs w:val="16"/>
    </w:rPr>
  </w:style>
  <w:style w:type="paragraph" w:styleId="a3">
    <w:name w:val="Balloon Text"/>
    <w:basedOn w:val="a"/>
    <w:link w:val="Char"/>
    <w:uiPriority w:val="99"/>
    <w:semiHidden/>
    <w:unhideWhenUsed/>
    <w:rsid w:val="00D015F0"/>
    <w:pPr>
      <w:suppressAutoHyphens/>
    </w:pPr>
    <w:rPr>
      <w:rFonts w:ascii="Tahoma" w:hAnsi="Tahoma" w:cs="Tahoma"/>
      <w:sz w:val="16"/>
      <w:szCs w:val="16"/>
      <w:lang w:val="el-GR" w:eastAsia="el-GR"/>
    </w:rPr>
  </w:style>
  <w:style w:type="character" w:customStyle="1" w:styleId="Char0">
    <w:name w:val="Κεφαλίδα Char"/>
    <w:basedOn w:val="a0"/>
    <w:link w:val="10"/>
    <w:uiPriority w:val="99"/>
    <w:semiHidden/>
    <w:rsid w:val="00194894"/>
  </w:style>
  <w:style w:type="paragraph" w:customStyle="1" w:styleId="10">
    <w:name w:val="Υποσέλιδο1"/>
    <w:basedOn w:val="a"/>
    <w:link w:val="Char0"/>
    <w:uiPriority w:val="99"/>
    <w:semiHidden/>
    <w:unhideWhenUsed/>
    <w:rsid w:val="00194894"/>
    <w:pPr>
      <w:tabs>
        <w:tab w:val="center" w:pos="4153"/>
        <w:tab w:val="right" w:pos="8306"/>
      </w:tabs>
    </w:pPr>
  </w:style>
  <w:style w:type="character" w:customStyle="1" w:styleId="Char1">
    <w:name w:val="Υποσέλιδο Char"/>
    <w:basedOn w:val="a0"/>
    <w:uiPriority w:val="99"/>
    <w:rsid w:val="00194894"/>
  </w:style>
  <w:style w:type="character" w:customStyle="1" w:styleId="apple-converted-space">
    <w:name w:val="apple-converted-space"/>
    <w:basedOn w:val="a0"/>
    <w:rsid w:val="007856AC"/>
  </w:style>
  <w:style w:type="character" w:customStyle="1" w:styleId="textexposedshow">
    <w:name w:val="text_exposed_show"/>
    <w:basedOn w:val="a0"/>
    <w:rsid w:val="00CE7D85"/>
  </w:style>
  <w:style w:type="character" w:customStyle="1" w:styleId="ListLabel1">
    <w:name w:val="ListLabel 1"/>
    <w:rsid w:val="00146CE2"/>
    <w:rPr>
      <w:rFonts w:cs="Courier New"/>
    </w:rPr>
  </w:style>
  <w:style w:type="paragraph" w:customStyle="1" w:styleId="Heading">
    <w:name w:val="Heading"/>
    <w:basedOn w:val="a"/>
    <w:next w:val="TextBody"/>
    <w:rsid w:val="00146CE2"/>
    <w:pPr>
      <w:keepNext/>
      <w:suppressAutoHyphens/>
      <w:spacing w:before="240" w:after="120" w:line="276" w:lineRule="auto"/>
    </w:pPr>
    <w:rPr>
      <w:rFonts w:ascii="Liberation Sans" w:hAnsi="Liberation Sans" w:cs="FreeSans"/>
      <w:sz w:val="28"/>
      <w:szCs w:val="28"/>
      <w:lang w:val="el-GR" w:eastAsia="el-GR"/>
    </w:rPr>
  </w:style>
  <w:style w:type="paragraph" w:customStyle="1" w:styleId="TextBody">
    <w:name w:val="Text Body"/>
    <w:basedOn w:val="a"/>
    <w:rsid w:val="00146CE2"/>
    <w:pPr>
      <w:suppressAutoHyphens/>
      <w:spacing w:after="140" w:line="288" w:lineRule="auto"/>
    </w:pPr>
    <w:rPr>
      <w:rFonts w:ascii="Calibri" w:hAnsi="Calibri"/>
      <w:sz w:val="22"/>
      <w:szCs w:val="22"/>
      <w:lang w:val="el-GR" w:eastAsia="el-GR"/>
    </w:rPr>
  </w:style>
  <w:style w:type="paragraph" w:styleId="a4">
    <w:name w:val="List"/>
    <w:basedOn w:val="TextBody"/>
    <w:rsid w:val="00146CE2"/>
    <w:rPr>
      <w:rFonts w:cs="FreeSans"/>
    </w:rPr>
  </w:style>
  <w:style w:type="paragraph" w:customStyle="1" w:styleId="12">
    <w:name w:val="Λεζάντα1"/>
    <w:basedOn w:val="a"/>
    <w:rsid w:val="00146CE2"/>
    <w:pPr>
      <w:suppressLineNumbers/>
      <w:suppressAutoHyphens/>
      <w:spacing w:before="120" w:after="120" w:line="276" w:lineRule="auto"/>
    </w:pPr>
    <w:rPr>
      <w:rFonts w:ascii="Calibri" w:hAnsi="Calibri" w:cs="FreeSans"/>
      <w:i/>
      <w:iCs/>
      <w:lang w:val="el-GR" w:eastAsia="el-GR"/>
    </w:rPr>
  </w:style>
  <w:style w:type="paragraph" w:customStyle="1" w:styleId="Index">
    <w:name w:val="Index"/>
    <w:basedOn w:val="a"/>
    <w:rsid w:val="00146CE2"/>
    <w:pPr>
      <w:suppressLineNumbers/>
      <w:suppressAutoHyphens/>
      <w:spacing w:after="200" w:line="276" w:lineRule="auto"/>
    </w:pPr>
    <w:rPr>
      <w:rFonts w:ascii="Calibri" w:hAnsi="Calibri" w:cs="FreeSans"/>
      <w:sz w:val="22"/>
      <w:szCs w:val="22"/>
      <w:lang w:val="el-GR" w:eastAsia="el-GR"/>
    </w:rPr>
  </w:style>
  <w:style w:type="paragraph" w:styleId="a5">
    <w:name w:val="List Paragraph"/>
    <w:basedOn w:val="a"/>
    <w:uiPriority w:val="34"/>
    <w:qFormat/>
    <w:rsid w:val="00040C59"/>
    <w:pPr>
      <w:suppressAutoHyphens/>
      <w:spacing w:after="200" w:line="276" w:lineRule="auto"/>
      <w:ind w:left="720"/>
      <w:contextualSpacing/>
    </w:pPr>
    <w:rPr>
      <w:rFonts w:ascii="Calibri" w:hAnsi="Calibri"/>
      <w:sz w:val="22"/>
      <w:szCs w:val="22"/>
      <w:lang w:val="el-GR" w:eastAsia="el-GR"/>
    </w:rPr>
  </w:style>
  <w:style w:type="paragraph" w:customStyle="1" w:styleId="ContentsHeading">
    <w:name w:val="Contents Heading"/>
    <w:basedOn w:val="11"/>
    <w:uiPriority w:val="39"/>
    <w:semiHidden/>
    <w:unhideWhenUsed/>
    <w:qFormat/>
    <w:rsid w:val="00103411"/>
    <w:rPr>
      <w:lang w:eastAsia="en-US"/>
    </w:rPr>
  </w:style>
  <w:style w:type="paragraph" w:customStyle="1" w:styleId="Contents2">
    <w:name w:val="Contents 2"/>
    <w:basedOn w:val="a"/>
    <w:autoRedefine/>
    <w:uiPriority w:val="39"/>
    <w:semiHidden/>
    <w:unhideWhenUsed/>
    <w:qFormat/>
    <w:rsid w:val="00103411"/>
    <w:pPr>
      <w:suppressAutoHyphens/>
      <w:spacing w:after="100" w:line="276" w:lineRule="auto"/>
      <w:ind w:left="220"/>
    </w:pPr>
    <w:rPr>
      <w:rFonts w:ascii="Calibri" w:hAnsi="Calibri"/>
      <w:sz w:val="22"/>
      <w:szCs w:val="22"/>
      <w:lang w:val="el-GR" w:eastAsia="en-US"/>
    </w:rPr>
  </w:style>
  <w:style w:type="paragraph" w:customStyle="1" w:styleId="Contents1">
    <w:name w:val="Contents 1"/>
    <w:basedOn w:val="a"/>
    <w:autoRedefine/>
    <w:uiPriority w:val="39"/>
    <w:semiHidden/>
    <w:unhideWhenUsed/>
    <w:qFormat/>
    <w:rsid w:val="00103411"/>
    <w:pPr>
      <w:spacing w:after="100"/>
    </w:pPr>
    <w:rPr>
      <w:lang w:eastAsia="en-US"/>
    </w:rPr>
  </w:style>
  <w:style w:type="paragraph" w:customStyle="1" w:styleId="Contents3">
    <w:name w:val="Contents 3"/>
    <w:basedOn w:val="a"/>
    <w:autoRedefine/>
    <w:uiPriority w:val="39"/>
    <w:semiHidden/>
    <w:unhideWhenUsed/>
    <w:qFormat/>
    <w:rsid w:val="00103411"/>
    <w:pPr>
      <w:spacing w:after="100"/>
      <w:ind w:left="440"/>
    </w:pPr>
    <w:rPr>
      <w:lang w:eastAsia="en-US"/>
    </w:rPr>
  </w:style>
  <w:style w:type="paragraph" w:customStyle="1" w:styleId="Default">
    <w:name w:val="Default"/>
    <w:rsid w:val="00D33212"/>
    <w:pPr>
      <w:suppressAutoHyphens/>
      <w:spacing w:line="240" w:lineRule="auto"/>
    </w:pPr>
    <w:rPr>
      <w:rFonts w:ascii="Times New Roman" w:hAnsi="Times New Roman"/>
      <w:color w:val="000000"/>
      <w:sz w:val="24"/>
      <w:szCs w:val="24"/>
    </w:rPr>
  </w:style>
  <w:style w:type="paragraph" w:customStyle="1" w:styleId="13">
    <w:name w:val="Κεφαλίδα1"/>
    <w:basedOn w:val="a"/>
    <w:uiPriority w:val="99"/>
    <w:semiHidden/>
    <w:unhideWhenUsed/>
    <w:rsid w:val="00194894"/>
    <w:pPr>
      <w:tabs>
        <w:tab w:val="center" w:pos="4153"/>
        <w:tab w:val="right" w:pos="8306"/>
      </w:tabs>
    </w:pPr>
  </w:style>
  <w:style w:type="paragraph" w:styleId="Web">
    <w:name w:val="Normal (Web)"/>
    <w:basedOn w:val="a"/>
    <w:uiPriority w:val="99"/>
    <w:unhideWhenUsed/>
    <w:rsid w:val="007746D0"/>
    <w:pPr>
      <w:suppressAutoHyphens/>
      <w:spacing w:after="280" w:line="276" w:lineRule="auto"/>
    </w:pPr>
    <w:rPr>
      <w:rFonts w:eastAsia="Times New Roman"/>
      <w:lang w:val="el-GR" w:eastAsia="el-GR"/>
    </w:rPr>
  </w:style>
  <w:style w:type="table" w:styleId="a6">
    <w:name w:val="Table Grid"/>
    <w:basedOn w:val="a1"/>
    <w:uiPriority w:val="59"/>
    <w:rsid w:val="00BB6D46"/>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7">
    <w:name w:val="annotation reference"/>
    <w:basedOn w:val="a0"/>
    <w:uiPriority w:val="99"/>
    <w:semiHidden/>
    <w:unhideWhenUsed/>
    <w:rsid w:val="00A87AEA"/>
    <w:rPr>
      <w:sz w:val="18"/>
      <w:szCs w:val="18"/>
    </w:rPr>
  </w:style>
  <w:style w:type="paragraph" w:styleId="a8">
    <w:name w:val="annotation text"/>
    <w:basedOn w:val="a"/>
    <w:link w:val="Char2"/>
    <w:uiPriority w:val="99"/>
    <w:semiHidden/>
    <w:unhideWhenUsed/>
    <w:rsid w:val="00A87AEA"/>
    <w:pPr>
      <w:suppressAutoHyphens/>
      <w:spacing w:after="200"/>
    </w:pPr>
    <w:rPr>
      <w:rFonts w:ascii="Calibri" w:hAnsi="Calibri"/>
      <w:lang w:val="el-GR" w:eastAsia="el-GR"/>
    </w:rPr>
  </w:style>
  <w:style w:type="character" w:customStyle="1" w:styleId="Char2">
    <w:name w:val="Κείμενο σχολίου Char"/>
    <w:basedOn w:val="a0"/>
    <w:link w:val="a8"/>
    <w:uiPriority w:val="99"/>
    <w:semiHidden/>
    <w:rsid w:val="00A87AEA"/>
    <w:rPr>
      <w:sz w:val="24"/>
      <w:szCs w:val="24"/>
    </w:rPr>
  </w:style>
  <w:style w:type="paragraph" w:styleId="a9">
    <w:name w:val="annotation subject"/>
    <w:basedOn w:val="a8"/>
    <w:next w:val="a8"/>
    <w:link w:val="Char3"/>
    <w:uiPriority w:val="99"/>
    <w:semiHidden/>
    <w:unhideWhenUsed/>
    <w:rsid w:val="00A87AEA"/>
    <w:rPr>
      <w:b/>
      <w:bCs/>
      <w:sz w:val="20"/>
      <w:szCs w:val="20"/>
    </w:rPr>
  </w:style>
  <w:style w:type="character" w:customStyle="1" w:styleId="Char3">
    <w:name w:val="Θέμα σχολίου Char"/>
    <w:basedOn w:val="Char2"/>
    <w:link w:val="a9"/>
    <w:uiPriority w:val="99"/>
    <w:semiHidden/>
    <w:rsid w:val="00A87AEA"/>
    <w:rPr>
      <w:b/>
      <w:bCs/>
      <w:sz w:val="20"/>
      <w:szCs w:val="20"/>
    </w:rPr>
  </w:style>
  <w:style w:type="paragraph" w:styleId="aa">
    <w:name w:val="No Spacing"/>
    <w:link w:val="Char4"/>
    <w:uiPriority w:val="1"/>
    <w:qFormat/>
    <w:rsid w:val="002C67F5"/>
    <w:pPr>
      <w:spacing w:line="240" w:lineRule="auto"/>
    </w:pPr>
    <w:rPr>
      <w:rFonts w:asciiTheme="minorHAnsi" w:eastAsiaTheme="minorEastAsia" w:hAnsiTheme="minorHAnsi" w:cstheme="minorBidi"/>
      <w:lang w:eastAsia="en-US"/>
    </w:rPr>
  </w:style>
  <w:style w:type="character" w:customStyle="1" w:styleId="Char4">
    <w:name w:val="Χωρίς διάστιχο Char"/>
    <w:basedOn w:val="a0"/>
    <w:link w:val="aa"/>
    <w:uiPriority w:val="1"/>
    <w:rsid w:val="002C67F5"/>
    <w:rPr>
      <w:rFonts w:asciiTheme="minorHAnsi" w:eastAsiaTheme="minorEastAsia" w:hAnsiTheme="minorHAnsi" w:cstheme="minorBidi"/>
      <w:lang w:eastAsia="en-US"/>
    </w:rPr>
  </w:style>
  <w:style w:type="paragraph" w:styleId="ab">
    <w:name w:val="header"/>
    <w:basedOn w:val="a"/>
    <w:link w:val="Char10"/>
    <w:uiPriority w:val="99"/>
    <w:unhideWhenUsed/>
    <w:rsid w:val="002C67F5"/>
    <w:pPr>
      <w:tabs>
        <w:tab w:val="center" w:pos="4153"/>
        <w:tab w:val="right" w:pos="8306"/>
      </w:tabs>
    </w:pPr>
    <w:rPr>
      <w:rFonts w:asciiTheme="minorHAnsi" w:eastAsiaTheme="minorHAnsi" w:hAnsiTheme="minorHAnsi" w:cstheme="minorBidi"/>
      <w:sz w:val="22"/>
      <w:szCs w:val="22"/>
      <w:lang w:val="el-GR" w:eastAsia="en-US"/>
    </w:rPr>
  </w:style>
  <w:style w:type="character" w:customStyle="1" w:styleId="Char10">
    <w:name w:val="Κεφαλίδα Char1"/>
    <w:basedOn w:val="a0"/>
    <w:link w:val="ab"/>
    <w:uiPriority w:val="99"/>
    <w:rsid w:val="002C67F5"/>
    <w:rPr>
      <w:rFonts w:asciiTheme="minorHAnsi" w:eastAsiaTheme="minorHAnsi" w:hAnsiTheme="minorHAnsi" w:cstheme="minorBidi"/>
      <w:lang w:eastAsia="en-US"/>
    </w:rPr>
  </w:style>
  <w:style w:type="paragraph" w:styleId="ac">
    <w:name w:val="footer"/>
    <w:basedOn w:val="a"/>
    <w:link w:val="Char11"/>
    <w:uiPriority w:val="99"/>
    <w:unhideWhenUsed/>
    <w:rsid w:val="002C67F5"/>
    <w:pPr>
      <w:tabs>
        <w:tab w:val="center" w:pos="4153"/>
        <w:tab w:val="right" w:pos="8306"/>
      </w:tabs>
    </w:pPr>
    <w:rPr>
      <w:rFonts w:asciiTheme="minorHAnsi" w:eastAsiaTheme="minorHAnsi" w:hAnsiTheme="minorHAnsi" w:cstheme="minorBidi"/>
      <w:sz w:val="22"/>
      <w:szCs w:val="22"/>
      <w:lang w:val="el-GR" w:eastAsia="en-US"/>
    </w:rPr>
  </w:style>
  <w:style w:type="character" w:customStyle="1" w:styleId="Char11">
    <w:name w:val="Υποσέλιδο Char1"/>
    <w:basedOn w:val="a0"/>
    <w:link w:val="ac"/>
    <w:uiPriority w:val="99"/>
    <w:rsid w:val="002C67F5"/>
    <w:rPr>
      <w:rFonts w:asciiTheme="minorHAnsi" w:eastAsiaTheme="minorHAnsi" w:hAnsiTheme="minorHAnsi" w:cstheme="minorBidi"/>
      <w:lang w:eastAsia="en-US"/>
    </w:rPr>
  </w:style>
  <w:style w:type="character" w:styleId="-">
    <w:name w:val="Hyperlink"/>
    <w:basedOn w:val="a0"/>
    <w:uiPriority w:val="99"/>
    <w:unhideWhenUsed/>
    <w:rsid w:val="002C67F5"/>
    <w:rPr>
      <w:color w:val="0000FF"/>
      <w:u w:val="single"/>
    </w:rPr>
  </w:style>
  <w:style w:type="paragraph" w:styleId="-HTML">
    <w:name w:val="HTML Preformatted"/>
    <w:basedOn w:val="a"/>
    <w:link w:val="-HTMLChar"/>
    <w:uiPriority w:val="99"/>
    <w:unhideWhenUsed/>
    <w:rsid w:val="002C6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l-GR" w:eastAsia="el-GR"/>
    </w:rPr>
  </w:style>
  <w:style w:type="character" w:customStyle="1" w:styleId="-HTMLChar">
    <w:name w:val="Προ-διαμορφωμένο HTML Char"/>
    <w:basedOn w:val="a0"/>
    <w:link w:val="-HTML"/>
    <w:uiPriority w:val="99"/>
    <w:rsid w:val="002C67F5"/>
    <w:rPr>
      <w:rFonts w:ascii="Courier New" w:eastAsia="Times New Roman" w:hAnsi="Courier New" w:cs="Courier New"/>
      <w:sz w:val="20"/>
      <w:szCs w:val="20"/>
    </w:rPr>
  </w:style>
  <w:style w:type="paragraph" w:styleId="ad">
    <w:name w:val="TOC Heading"/>
    <w:basedOn w:val="1"/>
    <w:next w:val="a"/>
    <w:uiPriority w:val="39"/>
    <w:unhideWhenUsed/>
    <w:qFormat/>
    <w:rsid w:val="002C67F5"/>
    <w:pPr>
      <w:spacing w:before="480"/>
      <w:outlineLvl w:val="9"/>
    </w:pPr>
    <w:rPr>
      <w:b w:val="0"/>
      <w:bCs/>
      <w:sz w:val="28"/>
      <w:szCs w:val="28"/>
      <w:lang w:val="el-GR"/>
    </w:rPr>
  </w:style>
  <w:style w:type="paragraph" w:styleId="14">
    <w:name w:val="toc 1"/>
    <w:basedOn w:val="a"/>
    <w:next w:val="a"/>
    <w:autoRedefine/>
    <w:uiPriority w:val="39"/>
    <w:unhideWhenUsed/>
    <w:rsid w:val="00E85B07"/>
    <w:pPr>
      <w:tabs>
        <w:tab w:val="right" w:leader="dot" w:pos="8659"/>
      </w:tabs>
      <w:spacing w:after="120" w:line="360" w:lineRule="auto"/>
      <w:jc w:val="both"/>
    </w:pPr>
    <w:rPr>
      <w:rFonts w:asciiTheme="minorHAnsi" w:eastAsiaTheme="minorHAnsi" w:hAnsiTheme="minorHAnsi" w:cstheme="minorBidi"/>
      <w:sz w:val="22"/>
      <w:szCs w:val="22"/>
      <w:lang w:val="el-GR" w:eastAsia="en-US"/>
    </w:rPr>
  </w:style>
  <w:style w:type="paragraph" w:styleId="20">
    <w:name w:val="toc 2"/>
    <w:basedOn w:val="a"/>
    <w:next w:val="a"/>
    <w:autoRedefine/>
    <w:uiPriority w:val="39"/>
    <w:unhideWhenUsed/>
    <w:rsid w:val="002C67F5"/>
    <w:pPr>
      <w:spacing w:after="100" w:line="276" w:lineRule="auto"/>
      <w:ind w:left="220"/>
    </w:pPr>
    <w:rPr>
      <w:rFonts w:asciiTheme="minorHAnsi" w:eastAsiaTheme="minorHAnsi" w:hAnsiTheme="minorHAnsi" w:cstheme="minorBidi"/>
      <w:sz w:val="22"/>
      <w:szCs w:val="22"/>
      <w:lang w:val="el-GR" w:eastAsia="en-US"/>
    </w:rPr>
  </w:style>
  <w:style w:type="paragraph" w:styleId="30">
    <w:name w:val="toc 3"/>
    <w:basedOn w:val="a"/>
    <w:next w:val="a"/>
    <w:autoRedefine/>
    <w:uiPriority w:val="39"/>
    <w:unhideWhenUsed/>
    <w:rsid w:val="002C67F5"/>
    <w:pPr>
      <w:spacing w:after="100" w:line="276" w:lineRule="auto"/>
      <w:ind w:left="440"/>
    </w:pPr>
    <w:rPr>
      <w:rFonts w:asciiTheme="minorHAnsi" w:eastAsiaTheme="minorHAnsi" w:hAnsiTheme="minorHAnsi" w:cstheme="minorBidi"/>
      <w:sz w:val="22"/>
      <w:szCs w:val="22"/>
      <w:lang w:val="el-GR" w:eastAsia="en-US"/>
    </w:rPr>
  </w:style>
  <w:style w:type="table" w:customStyle="1" w:styleId="LightShading1">
    <w:name w:val="Light Shading1"/>
    <w:basedOn w:val="a1"/>
    <w:next w:val="a1"/>
    <w:uiPriority w:val="60"/>
    <w:rsid w:val="002C67F5"/>
    <w:pPr>
      <w:spacing w:line="240" w:lineRule="auto"/>
    </w:pPr>
    <w:rPr>
      <w:rFonts w:asciiTheme="minorHAnsi" w:eastAsia="Calibri" w:hAnsiTheme="minorHAnsi" w:cstheme="minorBidi"/>
      <w:color w:val="000000"/>
      <w:lang w:val="en-US"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15">
    <w:name w:val="Προεπιλεγμένη γραμματοσειρά1"/>
    <w:rsid w:val="002C67F5"/>
  </w:style>
  <w:style w:type="paragraph" w:customStyle="1" w:styleId="Standard">
    <w:name w:val="Standard"/>
    <w:rsid w:val="002C67F5"/>
    <w:pPr>
      <w:suppressAutoHyphens/>
      <w:autoSpaceDN w:val="0"/>
      <w:spacing w:after="200"/>
      <w:textAlignment w:val="baseline"/>
    </w:pPr>
    <w:rPr>
      <w:rFonts w:eastAsia="Calibri" w:cs="Tahoma"/>
      <w:color w:val="00000A"/>
      <w:kern w:val="3"/>
      <w:lang w:eastAsia="en-US"/>
    </w:rPr>
  </w:style>
  <w:style w:type="paragraph" w:customStyle="1" w:styleId="p1">
    <w:name w:val="p1"/>
    <w:basedOn w:val="a"/>
    <w:rsid w:val="002C67F5"/>
    <w:rPr>
      <w:rFonts w:ascii="Helvetica" w:eastAsiaTheme="minorHAnsi" w:hAnsi="Helvetica"/>
      <w:sz w:val="18"/>
      <w:szCs w:val="18"/>
    </w:rPr>
  </w:style>
  <w:style w:type="paragraph" w:customStyle="1" w:styleId="p2">
    <w:name w:val="p2"/>
    <w:basedOn w:val="a"/>
    <w:rsid w:val="002C67F5"/>
    <w:pPr>
      <w:spacing w:line="240" w:lineRule="atLeast"/>
      <w:ind w:left="45"/>
      <w:jc w:val="center"/>
    </w:pPr>
    <w:rPr>
      <w:rFonts w:ascii="Arial" w:eastAsiaTheme="minorHAnsi" w:hAnsi="Arial" w:cs="Arial"/>
      <w:sz w:val="18"/>
      <w:szCs w:val="18"/>
    </w:rPr>
  </w:style>
  <w:style w:type="paragraph" w:customStyle="1" w:styleId="p3">
    <w:name w:val="p3"/>
    <w:basedOn w:val="a"/>
    <w:rsid w:val="002C67F5"/>
    <w:pPr>
      <w:spacing w:line="240" w:lineRule="atLeast"/>
      <w:ind w:left="45"/>
      <w:jc w:val="right"/>
    </w:pPr>
    <w:rPr>
      <w:rFonts w:ascii="Arial" w:eastAsiaTheme="minorHAnsi" w:hAnsi="Arial" w:cs="Arial"/>
      <w:sz w:val="18"/>
      <w:szCs w:val="18"/>
    </w:rPr>
  </w:style>
  <w:style w:type="paragraph" w:customStyle="1" w:styleId="p4">
    <w:name w:val="p4"/>
    <w:basedOn w:val="a"/>
    <w:rsid w:val="002C67F5"/>
    <w:pPr>
      <w:spacing w:line="300" w:lineRule="atLeast"/>
    </w:pPr>
    <w:rPr>
      <w:rFonts w:eastAsiaTheme="minorHAnsi"/>
      <w:sz w:val="18"/>
      <w:szCs w:val="18"/>
    </w:rPr>
  </w:style>
  <w:style w:type="paragraph" w:customStyle="1" w:styleId="p5">
    <w:name w:val="p5"/>
    <w:basedOn w:val="a"/>
    <w:rsid w:val="00F25A0F"/>
    <w:pPr>
      <w:spacing w:line="240" w:lineRule="atLeast"/>
      <w:ind w:left="45"/>
      <w:jc w:val="right"/>
    </w:pPr>
    <w:rPr>
      <w:rFonts w:ascii="Arial" w:hAnsi="Arial" w:cs="Arial"/>
      <w:sz w:val="18"/>
      <w:szCs w:val="18"/>
    </w:rPr>
  </w:style>
  <w:style w:type="paragraph" w:customStyle="1" w:styleId="p6">
    <w:name w:val="p6"/>
    <w:basedOn w:val="a"/>
    <w:rsid w:val="00F25A0F"/>
    <w:pPr>
      <w:spacing w:line="300" w:lineRule="atLeast"/>
    </w:pPr>
    <w:rPr>
      <w:sz w:val="18"/>
      <w:szCs w:val="18"/>
    </w:rPr>
  </w:style>
  <w:style w:type="paragraph" w:customStyle="1" w:styleId="p7">
    <w:name w:val="p7"/>
    <w:basedOn w:val="a"/>
    <w:rsid w:val="005C25FB"/>
    <w:pPr>
      <w:spacing w:line="300" w:lineRule="atLeast"/>
    </w:pPr>
    <w:rPr>
      <w:sz w:val="18"/>
      <w:szCs w:val="18"/>
    </w:rPr>
  </w:style>
  <w:style w:type="character" w:styleId="ae">
    <w:name w:val="Mention"/>
    <w:basedOn w:val="a0"/>
    <w:uiPriority w:val="99"/>
    <w:semiHidden/>
    <w:unhideWhenUsed/>
    <w:rsid w:val="00A91B3F"/>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957847">
      <w:bodyDiv w:val="1"/>
      <w:marLeft w:val="0"/>
      <w:marRight w:val="0"/>
      <w:marTop w:val="0"/>
      <w:marBottom w:val="0"/>
      <w:divBdr>
        <w:top w:val="none" w:sz="0" w:space="0" w:color="auto"/>
        <w:left w:val="none" w:sz="0" w:space="0" w:color="auto"/>
        <w:bottom w:val="none" w:sz="0" w:space="0" w:color="auto"/>
        <w:right w:val="none" w:sz="0" w:space="0" w:color="auto"/>
      </w:divBdr>
    </w:div>
    <w:div w:id="441730281">
      <w:bodyDiv w:val="1"/>
      <w:marLeft w:val="0"/>
      <w:marRight w:val="0"/>
      <w:marTop w:val="0"/>
      <w:marBottom w:val="0"/>
      <w:divBdr>
        <w:top w:val="none" w:sz="0" w:space="0" w:color="auto"/>
        <w:left w:val="none" w:sz="0" w:space="0" w:color="auto"/>
        <w:bottom w:val="none" w:sz="0" w:space="0" w:color="auto"/>
        <w:right w:val="none" w:sz="0" w:space="0" w:color="auto"/>
      </w:divBdr>
    </w:div>
    <w:div w:id="608203307">
      <w:bodyDiv w:val="1"/>
      <w:marLeft w:val="0"/>
      <w:marRight w:val="0"/>
      <w:marTop w:val="0"/>
      <w:marBottom w:val="0"/>
      <w:divBdr>
        <w:top w:val="none" w:sz="0" w:space="0" w:color="auto"/>
        <w:left w:val="none" w:sz="0" w:space="0" w:color="auto"/>
        <w:bottom w:val="none" w:sz="0" w:space="0" w:color="auto"/>
        <w:right w:val="none" w:sz="0" w:space="0" w:color="auto"/>
      </w:divBdr>
    </w:div>
    <w:div w:id="1086732548">
      <w:bodyDiv w:val="1"/>
      <w:marLeft w:val="0"/>
      <w:marRight w:val="0"/>
      <w:marTop w:val="0"/>
      <w:marBottom w:val="0"/>
      <w:divBdr>
        <w:top w:val="none" w:sz="0" w:space="0" w:color="auto"/>
        <w:left w:val="none" w:sz="0" w:space="0" w:color="auto"/>
        <w:bottom w:val="none" w:sz="0" w:space="0" w:color="auto"/>
        <w:right w:val="none" w:sz="0" w:space="0" w:color="auto"/>
      </w:divBdr>
    </w:div>
    <w:div w:id="1499923379">
      <w:bodyDiv w:val="1"/>
      <w:marLeft w:val="0"/>
      <w:marRight w:val="0"/>
      <w:marTop w:val="0"/>
      <w:marBottom w:val="0"/>
      <w:divBdr>
        <w:top w:val="none" w:sz="0" w:space="0" w:color="auto"/>
        <w:left w:val="none" w:sz="0" w:space="0" w:color="auto"/>
        <w:bottom w:val="none" w:sz="0" w:space="0" w:color="auto"/>
        <w:right w:val="none" w:sz="0" w:space="0" w:color="auto"/>
      </w:divBdr>
    </w:div>
    <w:div w:id="1520050739">
      <w:bodyDiv w:val="1"/>
      <w:marLeft w:val="0"/>
      <w:marRight w:val="0"/>
      <w:marTop w:val="0"/>
      <w:marBottom w:val="0"/>
      <w:divBdr>
        <w:top w:val="none" w:sz="0" w:space="0" w:color="auto"/>
        <w:left w:val="none" w:sz="0" w:space="0" w:color="auto"/>
        <w:bottom w:val="none" w:sz="0" w:space="0" w:color="auto"/>
        <w:right w:val="none" w:sz="0" w:space="0" w:color="auto"/>
      </w:divBdr>
    </w:div>
    <w:div w:id="16439979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Data" Target="diagrams/data1.xml"/><Relationship Id="rId18" Type="http://schemas.openxmlformats.org/officeDocument/2006/relationships/image" Target="media/image4.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diagramQuickStyle" Target="diagrams/quickStyle2.xml"/><Relationship Id="rId7" Type="http://schemas.openxmlformats.org/officeDocument/2006/relationships/endnotes" Target="endnotes.xml"/><Relationship Id="rId12" Type="http://schemas.openxmlformats.org/officeDocument/2006/relationships/image" Target="media/image3.png"/><Relationship Id="rId17" Type="http://schemas.microsoft.com/office/2007/relationships/diagramDrawing" Target="diagrams/drawing1.xml"/><Relationship Id="rId25" Type="http://schemas.openxmlformats.org/officeDocument/2006/relationships/hyperlink" Target="http://eclass.teiep.gr/modules/document/file.php/LOGO137/" TargetMode="Externa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diagramLayout" Target="diagrams/layou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microsoft.com/office/2007/relationships/diagramDrawing" Target="diagrams/drawing2.xml"/><Relationship Id="rId10" Type="http://schemas.openxmlformats.org/officeDocument/2006/relationships/footer" Target="footer2.xml"/><Relationship Id="rId19" Type="http://schemas.openxmlformats.org/officeDocument/2006/relationships/diagramData" Target="diagrams/data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Layout" Target="diagrams/layout1.xml"/><Relationship Id="rId22" Type="http://schemas.openxmlformats.org/officeDocument/2006/relationships/diagramColors" Target="diagrams/colors2.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63F7236-AD73-406A-A827-4F70520140E6}"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l-GR"/>
        </a:p>
      </dgm:t>
    </dgm:pt>
    <dgm:pt modelId="{63B4D26D-59DB-4699-8EB1-A6F444A0F65F}">
      <dgm:prSet phldrT="[Κείμενο]"/>
      <dgm:spPr>
        <a:solidFill>
          <a:schemeClr val="tx2">
            <a:lumMod val="75000"/>
          </a:schemeClr>
        </a:solidFill>
      </dgm:spPr>
      <dgm:t>
        <a:bodyPr/>
        <a:lstStyle/>
        <a:p>
          <a:r>
            <a:rPr lang="el-GR">
              <a:latin typeface="Times New Roman" pitchFamily="18" charset="0"/>
              <a:cs typeface="Times New Roman" pitchFamily="18" charset="0"/>
            </a:rPr>
            <a:t>1ο</a:t>
          </a:r>
        </a:p>
      </dgm:t>
    </dgm:pt>
    <dgm:pt modelId="{E2145393-CC3D-4F45-A66D-FC2BE5027001}" type="parTrans" cxnId="{F23C4EBC-D5E6-46BC-A6FC-2587D078B2EE}">
      <dgm:prSet/>
      <dgm:spPr/>
      <dgm:t>
        <a:bodyPr/>
        <a:lstStyle/>
        <a:p>
          <a:endParaRPr lang="el-GR"/>
        </a:p>
      </dgm:t>
    </dgm:pt>
    <dgm:pt modelId="{0B214958-B259-42BA-91A2-715F8FE8CF92}" type="sibTrans" cxnId="{F23C4EBC-D5E6-46BC-A6FC-2587D078B2EE}">
      <dgm:prSet/>
      <dgm:spPr/>
      <dgm:t>
        <a:bodyPr/>
        <a:lstStyle/>
        <a:p>
          <a:endParaRPr lang="el-GR"/>
        </a:p>
      </dgm:t>
    </dgm:pt>
    <dgm:pt modelId="{A520AA61-1F0D-442E-9D30-3DB64F9F5BBA}">
      <dgm:prSet phldrT="[Κείμενο]" custT="1"/>
      <dgm:spPr/>
      <dgm:t>
        <a:bodyPr/>
        <a:lstStyle/>
        <a:p>
          <a:r>
            <a:rPr lang="el-GR" sz="3200">
              <a:latin typeface="Times New Roman" pitchFamily="18" charset="0"/>
              <a:cs typeface="Times New Roman" pitchFamily="18" charset="0"/>
            </a:rPr>
            <a:t>Στοματικό στάδιο</a:t>
          </a:r>
        </a:p>
      </dgm:t>
    </dgm:pt>
    <dgm:pt modelId="{F88D5DDB-456A-4BCC-AC29-AE6B60315AE8}" type="parTrans" cxnId="{02CA988C-BCEC-49B7-B30C-4C10DB07BC60}">
      <dgm:prSet/>
      <dgm:spPr/>
      <dgm:t>
        <a:bodyPr/>
        <a:lstStyle/>
        <a:p>
          <a:endParaRPr lang="el-GR"/>
        </a:p>
      </dgm:t>
    </dgm:pt>
    <dgm:pt modelId="{43813054-1B65-4405-9917-392944D932E0}" type="sibTrans" cxnId="{02CA988C-BCEC-49B7-B30C-4C10DB07BC60}">
      <dgm:prSet/>
      <dgm:spPr/>
      <dgm:t>
        <a:bodyPr/>
        <a:lstStyle/>
        <a:p>
          <a:endParaRPr lang="el-GR"/>
        </a:p>
      </dgm:t>
    </dgm:pt>
    <dgm:pt modelId="{C31014AC-998D-44D4-9DDC-ABCA9FEC4012}">
      <dgm:prSet phldrT="[Κείμενο]"/>
      <dgm:spPr>
        <a:solidFill>
          <a:schemeClr val="tx2">
            <a:lumMod val="60000"/>
            <a:lumOff val="40000"/>
          </a:schemeClr>
        </a:solidFill>
      </dgm:spPr>
      <dgm:t>
        <a:bodyPr/>
        <a:lstStyle/>
        <a:p>
          <a:r>
            <a:rPr lang="el-GR">
              <a:latin typeface="Times New Roman" pitchFamily="18" charset="0"/>
              <a:cs typeface="Times New Roman" pitchFamily="18" charset="0"/>
            </a:rPr>
            <a:t>2ο</a:t>
          </a:r>
        </a:p>
      </dgm:t>
    </dgm:pt>
    <dgm:pt modelId="{9E52E76A-BB70-4AB6-81F4-8BC6DBCE012E}" type="parTrans" cxnId="{8248E1D6-AC20-49A5-A376-C5A8D49D32AB}">
      <dgm:prSet/>
      <dgm:spPr/>
      <dgm:t>
        <a:bodyPr/>
        <a:lstStyle/>
        <a:p>
          <a:endParaRPr lang="el-GR"/>
        </a:p>
      </dgm:t>
    </dgm:pt>
    <dgm:pt modelId="{7A5D92B6-351B-406F-992A-3F2775B69A61}" type="sibTrans" cxnId="{8248E1D6-AC20-49A5-A376-C5A8D49D32AB}">
      <dgm:prSet/>
      <dgm:spPr/>
      <dgm:t>
        <a:bodyPr/>
        <a:lstStyle/>
        <a:p>
          <a:endParaRPr lang="el-GR"/>
        </a:p>
      </dgm:t>
    </dgm:pt>
    <dgm:pt modelId="{D1063C27-9B89-46E8-99E9-ADA986555EE3}">
      <dgm:prSet phldrT="[Κείμενο]" custT="1"/>
      <dgm:spPr/>
      <dgm:t>
        <a:bodyPr/>
        <a:lstStyle/>
        <a:p>
          <a:r>
            <a:rPr lang="el-GR" sz="3200">
              <a:latin typeface="Times New Roman" pitchFamily="18" charset="0"/>
              <a:cs typeface="Times New Roman" pitchFamily="18" charset="0"/>
            </a:rPr>
            <a:t>Φαρυγγικό στάδιο</a:t>
          </a:r>
          <a:endParaRPr lang="el-GR" sz="3900">
            <a:latin typeface="Times New Roman" pitchFamily="18" charset="0"/>
            <a:cs typeface="Times New Roman" pitchFamily="18" charset="0"/>
          </a:endParaRPr>
        </a:p>
      </dgm:t>
    </dgm:pt>
    <dgm:pt modelId="{3487C8F4-57DA-4C60-BA1A-7C24E9998E06}" type="parTrans" cxnId="{287AA369-2BB6-4709-8343-EB5E0F880C31}">
      <dgm:prSet/>
      <dgm:spPr/>
      <dgm:t>
        <a:bodyPr/>
        <a:lstStyle/>
        <a:p>
          <a:endParaRPr lang="el-GR"/>
        </a:p>
      </dgm:t>
    </dgm:pt>
    <dgm:pt modelId="{C13A6DC6-4B8F-4E1C-9A15-13E77942D2F0}" type="sibTrans" cxnId="{287AA369-2BB6-4709-8343-EB5E0F880C31}">
      <dgm:prSet/>
      <dgm:spPr/>
      <dgm:t>
        <a:bodyPr/>
        <a:lstStyle/>
        <a:p>
          <a:endParaRPr lang="el-GR"/>
        </a:p>
      </dgm:t>
    </dgm:pt>
    <dgm:pt modelId="{B5DD4143-CAA0-48FD-BDC9-2D14E606489E}">
      <dgm:prSet phldrT="[Κείμενο]"/>
      <dgm:spPr>
        <a:solidFill>
          <a:schemeClr val="tx2">
            <a:lumMod val="20000"/>
            <a:lumOff val="80000"/>
          </a:schemeClr>
        </a:solidFill>
      </dgm:spPr>
      <dgm:t>
        <a:bodyPr/>
        <a:lstStyle/>
        <a:p>
          <a:r>
            <a:rPr lang="el-GR">
              <a:latin typeface="Times New Roman" pitchFamily="18" charset="0"/>
              <a:cs typeface="Times New Roman" pitchFamily="18" charset="0"/>
            </a:rPr>
            <a:t>3ο</a:t>
          </a:r>
        </a:p>
      </dgm:t>
    </dgm:pt>
    <dgm:pt modelId="{968434F8-183C-408B-B176-9E5D2A5EB031}" type="parTrans" cxnId="{8A3CC997-3B16-4399-B7C6-34AC4859298E}">
      <dgm:prSet/>
      <dgm:spPr/>
      <dgm:t>
        <a:bodyPr/>
        <a:lstStyle/>
        <a:p>
          <a:endParaRPr lang="el-GR"/>
        </a:p>
      </dgm:t>
    </dgm:pt>
    <dgm:pt modelId="{1E250D9B-E7D0-4CFA-8D39-23134D0C39C9}" type="sibTrans" cxnId="{8A3CC997-3B16-4399-B7C6-34AC4859298E}">
      <dgm:prSet/>
      <dgm:spPr/>
      <dgm:t>
        <a:bodyPr/>
        <a:lstStyle/>
        <a:p>
          <a:endParaRPr lang="el-GR"/>
        </a:p>
      </dgm:t>
    </dgm:pt>
    <dgm:pt modelId="{FFFBE298-C4E9-4E71-B919-6194A2FEFF0E}">
      <dgm:prSet phldrT="[Κείμενο]" custT="1"/>
      <dgm:spPr/>
      <dgm:t>
        <a:bodyPr/>
        <a:lstStyle/>
        <a:p>
          <a:r>
            <a:rPr lang="el-GR" sz="3200">
              <a:latin typeface="Times New Roman" pitchFamily="18" charset="0"/>
              <a:cs typeface="Times New Roman" pitchFamily="18" charset="0"/>
            </a:rPr>
            <a:t>Οισοφαγικό στάδιο</a:t>
          </a:r>
        </a:p>
      </dgm:t>
    </dgm:pt>
    <dgm:pt modelId="{CB170E4E-847A-4285-9A5F-99FCADD344C7}" type="parTrans" cxnId="{D056411D-5372-4DC0-8369-294DEA6D233B}">
      <dgm:prSet/>
      <dgm:spPr/>
      <dgm:t>
        <a:bodyPr/>
        <a:lstStyle/>
        <a:p>
          <a:endParaRPr lang="el-GR"/>
        </a:p>
      </dgm:t>
    </dgm:pt>
    <dgm:pt modelId="{38F1C94E-843F-4F49-B56C-EC10D8D27508}" type="sibTrans" cxnId="{D056411D-5372-4DC0-8369-294DEA6D233B}">
      <dgm:prSet/>
      <dgm:spPr/>
      <dgm:t>
        <a:bodyPr/>
        <a:lstStyle/>
        <a:p>
          <a:endParaRPr lang="el-GR"/>
        </a:p>
      </dgm:t>
    </dgm:pt>
    <dgm:pt modelId="{2D677D56-67A3-44A1-B56D-D3B72CB3622B}" type="pres">
      <dgm:prSet presAssocID="{263F7236-AD73-406A-A827-4F70520140E6}" presName="linearFlow" presStyleCnt="0">
        <dgm:presLayoutVars>
          <dgm:dir/>
          <dgm:animLvl val="lvl"/>
          <dgm:resizeHandles val="exact"/>
        </dgm:presLayoutVars>
      </dgm:prSet>
      <dgm:spPr/>
    </dgm:pt>
    <dgm:pt modelId="{4494A099-37B7-46DC-945C-D94E92FEE290}" type="pres">
      <dgm:prSet presAssocID="{63B4D26D-59DB-4699-8EB1-A6F444A0F65F}" presName="composite" presStyleCnt="0"/>
      <dgm:spPr/>
    </dgm:pt>
    <dgm:pt modelId="{1F5634E8-6FD4-46CF-954F-12A3C368572A}" type="pres">
      <dgm:prSet presAssocID="{63B4D26D-59DB-4699-8EB1-A6F444A0F65F}" presName="parentText" presStyleLbl="alignNode1" presStyleIdx="0" presStyleCnt="3">
        <dgm:presLayoutVars>
          <dgm:chMax val="1"/>
          <dgm:bulletEnabled val="1"/>
        </dgm:presLayoutVars>
      </dgm:prSet>
      <dgm:spPr/>
    </dgm:pt>
    <dgm:pt modelId="{239486C5-E81E-47FC-B458-8EBBF3031CF3}" type="pres">
      <dgm:prSet presAssocID="{63B4D26D-59DB-4699-8EB1-A6F444A0F65F}" presName="descendantText" presStyleLbl="alignAcc1" presStyleIdx="0" presStyleCnt="3">
        <dgm:presLayoutVars>
          <dgm:bulletEnabled val="1"/>
        </dgm:presLayoutVars>
      </dgm:prSet>
      <dgm:spPr/>
    </dgm:pt>
    <dgm:pt modelId="{83546D35-F8CF-41C8-9554-95343B11D37A}" type="pres">
      <dgm:prSet presAssocID="{0B214958-B259-42BA-91A2-715F8FE8CF92}" presName="sp" presStyleCnt="0"/>
      <dgm:spPr/>
    </dgm:pt>
    <dgm:pt modelId="{925C8F02-796B-47DB-9EBC-12FA6E1494E9}" type="pres">
      <dgm:prSet presAssocID="{C31014AC-998D-44D4-9DDC-ABCA9FEC4012}" presName="composite" presStyleCnt="0"/>
      <dgm:spPr/>
    </dgm:pt>
    <dgm:pt modelId="{3C3EE8ED-8AE9-40C6-B944-E8A947E8DF06}" type="pres">
      <dgm:prSet presAssocID="{C31014AC-998D-44D4-9DDC-ABCA9FEC4012}" presName="parentText" presStyleLbl="alignNode1" presStyleIdx="1" presStyleCnt="3">
        <dgm:presLayoutVars>
          <dgm:chMax val="1"/>
          <dgm:bulletEnabled val="1"/>
        </dgm:presLayoutVars>
      </dgm:prSet>
      <dgm:spPr/>
    </dgm:pt>
    <dgm:pt modelId="{6A007CF7-375F-4D13-B038-2A1D2C8DADF6}" type="pres">
      <dgm:prSet presAssocID="{C31014AC-998D-44D4-9DDC-ABCA9FEC4012}" presName="descendantText" presStyleLbl="alignAcc1" presStyleIdx="1" presStyleCnt="3">
        <dgm:presLayoutVars>
          <dgm:bulletEnabled val="1"/>
        </dgm:presLayoutVars>
      </dgm:prSet>
      <dgm:spPr/>
    </dgm:pt>
    <dgm:pt modelId="{97414F0A-9712-4711-83B5-FA1782631B36}" type="pres">
      <dgm:prSet presAssocID="{7A5D92B6-351B-406F-992A-3F2775B69A61}" presName="sp" presStyleCnt="0"/>
      <dgm:spPr/>
    </dgm:pt>
    <dgm:pt modelId="{74A24CC1-2C64-444A-BABD-ACA4D6789635}" type="pres">
      <dgm:prSet presAssocID="{B5DD4143-CAA0-48FD-BDC9-2D14E606489E}" presName="composite" presStyleCnt="0"/>
      <dgm:spPr/>
    </dgm:pt>
    <dgm:pt modelId="{9F5B36C4-7B4A-4754-8AD9-F89E814DD545}" type="pres">
      <dgm:prSet presAssocID="{B5DD4143-CAA0-48FD-BDC9-2D14E606489E}" presName="parentText" presStyleLbl="alignNode1" presStyleIdx="2" presStyleCnt="3">
        <dgm:presLayoutVars>
          <dgm:chMax val="1"/>
          <dgm:bulletEnabled val="1"/>
        </dgm:presLayoutVars>
      </dgm:prSet>
      <dgm:spPr/>
    </dgm:pt>
    <dgm:pt modelId="{5B034579-8BE6-4D85-A0D0-5F65E376A4C5}" type="pres">
      <dgm:prSet presAssocID="{B5DD4143-CAA0-48FD-BDC9-2D14E606489E}" presName="descendantText" presStyleLbl="alignAcc1" presStyleIdx="2" presStyleCnt="3">
        <dgm:presLayoutVars>
          <dgm:bulletEnabled val="1"/>
        </dgm:presLayoutVars>
      </dgm:prSet>
      <dgm:spPr/>
    </dgm:pt>
  </dgm:ptLst>
  <dgm:cxnLst>
    <dgm:cxn modelId="{D056411D-5372-4DC0-8369-294DEA6D233B}" srcId="{B5DD4143-CAA0-48FD-BDC9-2D14E606489E}" destId="{FFFBE298-C4E9-4E71-B919-6194A2FEFF0E}" srcOrd="0" destOrd="0" parTransId="{CB170E4E-847A-4285-9A5F-99FCADD344C7}" sibTransId="{38F1C94E-843F-4F49-B56C-EC10D8D27508}"/>
    <dgm:cxn modelId="{27F8F026-C044-6E4A-87A9-7311DDBC7095}" type="presOf" srcId="{D1063C27-9B89-46E8-99E9-ADA986555EE3}" destId="{6A007CF7-375F-4D13-B038-2A1D2C8DADF6}" srcOrd="0" destOrd="0" presId="urn:microsoft.com/office/officeart/2005/8/layout/chevron2"/>
    <dgm:cxn modelId="{287AA369-2BB6-4709-8343-EB5E0F880C31}" srcId="{C31014AC-998D-44D4-9DDC-ABCA9FEC4012}" destId="{D1063C27-9B89-46E8-99E9-ADA986555EE3}" srcOrd="0" destOrd="0" parTransId="{3487C8F4-57DA-4C60-BA1A-7C24E9998E06}" sibTransId="{C13A6DC6-4B8F-4E1C-9A15-13E77942D2F0}"/>
    <dgm:cxn modelId="{3A869D7E-979E-1844-ACA0-FB4A3B08FE77}" type="presOf" srcId="{B5DD4143-CAA0-48FD-BDC9-2D14E606489E}" destId="{9F5B36C4-7B4A-4754-8AD9-F89E814DD545}" srcOrd="0" destOrd="0" presId="urn:microsoft.com/office/officeart/2005/8/layout/chevron2"/>
    <dgm:cxn modelId="{A6309D8A-DAA8-244A-9A54-4B25A026259E}" type="presOf" srcId="{63B4D26D-59DB-4699-8EB1-A6F444A0F65F}" destId="{1F5634E8-6FD4-46CF-954F-12A3C368572A}" srcOrd="0" destOrd="0" presId="urn:microsoft.com/office/officeart/2005/8/layout/chevron2"/>
    <dgm:cxn modelId="{02CA988C-BCEC-49B7-B30C-4C10DB07BC60}" srcId="{63B4D26D-59DB-4699-8EB1-A6F444A0F65F}" destId="{A520AA61-1F0D-442E-9D30-3DB64F9F5BBA}" srcOrd="0" destOrd="0" parTransId="{F88D5DDB-456A-4BCC-AC29-AE6B60315AE8}" sibTransId="{43813054-1B65-4405-9917-392944D932E0}"/>
    <dgm:cxn modelId="{8A3CC997-3B16-4399-B7C6-34AC4859298E}" srcId="{263F7236-AD73-406A-A827-4F70520140E6}" destId="{B5DD4143-CAA0-48FD-BDC9-2D14E606489E}" srcOrd="2" destOrd="0" parTransId="{968434F8-183C-408B-B176-9E5D2A5EB031}" sibTransId="{1E250D9B-E7D0-4CFA-8D39-23134D0C39C9}"/>
    <dgm:cxn modelId="{F163BDA4-56F8-BB42-8B50-C5EE80275D73}" type="presOf" srcId="{A520AA61-1F0D-442E-9D30-3DB64F9F5BBA}" destId="{239486C5-E81E-47FC-B458-8EBBF3031CF3}" srcOrd="0" destOrd="0" presId="urn:microsoft.com/office/officeart/2005/8/layout/chevron2"/>
    <dgm:cxn modelId="{F23C4EBC-D5E6-46BC-A6FC-2587D078B2EE}" srcId="{263F7236-AD73-406A-A827-4F70520140E6}" destId="{63B4D26D-59DB-4699-8EB1-A6F444A0F65F}" srcOrd="0" destOrd="0" parTransId="{E2145393-CC3D-4F45-A66D-FC2BE5027001}" sibTransId="{0B214958-B259-42BA-91A2-715F8FE8CF92}"/>
    <dgm:cxn modelId="{D56EDDD4-ED3A-AE43-9DAA-8EBFB08D3207}" type="presOf" srcId="{263F7236-AD73-406A-A827-4F70520140E6}" destId="{2D677D56-67A3-44A1-B56D-D3B72CB3622B}" srcOrd="0" destOrd="0" presId="urn:microsoft.com/office/officeart/2005/8/layout/chevron2"/>
    <dgm:cxn modelId="{8248E1D6-AC20-49A5-A376-C5A8D49D32AB}" srcId="{263F7236-AD73-406A-A827-4F70520140E6}" destId="{C31014AC-998D-44D4-9DDC-ABCA9FEC4012}" srcOrd="1" destOrd="0" parTransId="{9E52E76A-BB70-4AB6-81F4-8BC6DBCE012E}" sibTransId="{7A5D92B6-351B-406F-992A-3F2775B69A61}"/>
    <dgm:cxn modelId="{9FE02BDE-13E3-CB48-95C2-3476BC2D3AEF}" type="presOf" srcId="{C31014AC-998D-44D4-9DDC-ABCA9FEC4012}" destId="{3C3EE8ED-8AE9-40C6-B944-E8A947E8DF06}" srcOrd="0" destOrd="0" presId="urn:microsoft.com/office/officeart/2005/8/layout/chevron2"/>
    <dgm:cxn modelId="{AF2070F0-C4FE-8E46-9FD7-02601CDB00EB}" type="presOf" srcId="{FFFBE298-C4E9-4E71-B919-6194A2FEFF0E}" destId="{5B034579-8BE6-4D85-A0D0-5F65E376A4C5}" srcOrd="0" destOrd="0" presId="urn:microsoft.com/office/officeart/2005/8/layout/chevron2"/>
    <dgm:cxn modelId="{D6849FCC-1A4B-4640-A6C4-97CFC3153F7A}" type="presParOf" srcId="{2D677D56-67A3-44A1-B56D-D3B72CB3622B}" destId="{4494A099-37B7-46DC-945C-D94E92FEE290}" srcOrd="0" destOrd="0" presId="urn:microsoft.com/office/officeart/2005/8/layout/chevron2"/>
    <dgm:cxn modelId="{7EA71A94-20DE-B04A-A53E-753CF93FCD7F}" type="presParOf" srcId="{4494A099-37B7-46DC-945C-D94E92FEE290}" destId="{1F5634E8-6FD4-46CF-954F-12A3C368572A}" srcOrd="0" destOrd="0" presId="urn:microsoft.com/office/officeart/2005/8/layout/chevron2"/>
    <dgm:cxn modelId="{9ACDE4FB-28D9-CB47-B49A-72026031B0B8}" type="presParOf" srcId="{4494A099-37B7-46DC-945C-D94E92FEE290}" destId="{239486C5-E81E-47FC-B458-8EBBF3031CF3}" srcOrd="1" destOrd="0" presId="urn:microsoft.com/office/officeart/2005/8/layout/chevron2"/>
    <dgm:cxn modelId="{3E803C12-1B42-6F47-BD4E-6BE74A1CBCA7}" type="presParOf" srcId="{2D677D56-67A3-44A1-B56D-D3B72CB3622B}" destId="{83546D35-F8CF-41C8-9554-95343B11D37A}" srcOrd="1" destOrd="0" presId="urn:microsoft.com/office/officeart/2005/8/layout/chevron2"/>
    <dgm:cxn modelId="{5265D352-E546-CE49-92C9-9D7B2216C6C4}" type="presParOf" srcId="{2D677D56-67A3-44A1-B56D-D3B72CB3622B}" destId="{925C8F02-796B-47DB-9EBC-12FA6E1494E9}" srcOrd="2" destOrd="0" presId="urn:microsoft.com/office/officeart/2005/8/layout/chevron2"/>
    <dgm:cxn modelId="{162273F9-64E3-DE40-8CD2-7B2791ADEF56}" type="presParOf" srcId="{925C8F02-796B-47DB-9EBC-12FA6E1494E9}" destId="{3C3EE8ED-8AE9-40C6-B944-E8A947E8DF06}" srcOrd="0" destOrd="0" presId="urn:microsoft.com/office/officeart/2005/8/layout/chevron2"/>
    <dgm:cxn modelId="{E1A548D2-CEBE-B442-B48A-96AD39578AD7}" type="presParOf" srcId="{925C8F02-796B-47DB-9EBC-12FA6E1494E9}" destId="{6A007CF7-375F-4D13-B038-2A1D2C8DADF6}" srcOrd="1" destOrd="0" presId="urn:microsoft.com/office/officeart/2005/8/layout/chevron2"/>
    <dgm:cxn modelId="{158DF17C-6562-C644-B34A-A02F9320CB92}" type="presParOf" srcId="{2D677D56-67A3-44A1-B56D-D3B72CB3622B}" destId="{97414F0A-9712-4711-83B5-FA1782631B36}" srcOrd="3" destOrd="0" presId="urn:microsoft.com/office/officeart/2005/8/layout/chevron2"/>
    <dgm:cxn modelId="{412A3604-80CB-474A-A6DE-8FDCE5131A77}" type="presParOf" srcId="{2D677D56-67A3-44A1-B56D-D3B72CB3622B}" destId="{74A24CC1-2C64-444A-BABD-ACA4D6789635}" srcOrd="4" destOrd="0" presId="urn:microsoft.com/office/officeart/2005/8/layout/chevron2"/>
    <dgm:cxn modelId="{B9663E63-E893-4D48-B797-34E30EABB654}" type="presParOf" srcId="{74A24CC1-2C64-444A-BABD-ACA4D6789635}" destId="{9F5B36C4-7B4A-4754-8AD9-F89E814DD545}" srcOrd="0" destOrd="0" presId="urn:microsoft.com/office/officeart/2005/8/layout/chevron2"/>
    <dgm:cxn modelId="{1AD2977C-64EB-624E-8EA9-8A94AF1430BF}" type="presParOf" srcId="{74A24CC1-2C64-444A-BABD-ACA4D6789635}" destId="{5B034579-8BE6-4D85-A0D0-5F65E376A4C5}" srcOrd="1" destOrd="0" presId="urn:microsoft.com/office/officeart/2005/8/layout/chevron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1249CBD-3E6B-4138-8CDE-F7619D53E376}" type="doc">
      <dgm:prSet loTypeId="urn:microsoft.com/office/officeart/2005/8/layout/pyramid4" loCatId="relationship" qsTypeId="urn:microsoft.com/office/officeart/2005/8/quickstyle/3d5" qsCatId="3D" csTypeId="urn:microsoft.com/office/officeart/2005/8/colors/accent1_3" csCatId="accent1" phldr="1"/>
      <dgm:spPr/>
      <dgm:t>
        <a:bodyPr/>
        <a:lstStyle/>
        <a:p>
          <a:endParaRPr lang="el-GR"/>
        </a:p>
      </dgm:t>
    </dgm:pt>
    <dgm:pt modelId="{771CA30B-E219-403D-8FC6-1F05ED47E99F}">
      <dgm:prSet phldrT="[Κείμενο]"/>
      <dgm:spPr/>
      <dgm:t>
        <a:bodyPr/>
        <a:lstStyle/>
        <a:p>
          <a:r>
            <a:rPr lang="el-GR"/>
            <a:t>Κωδικοποίηηση, ανάλυση, ερμηνεία αποτελεσμάτων</a:t>
          </a:r>
        </a:p>
      </dgm:t>
    </dgm:pt>
    <dgm:pt modelId="{24DB25A0-03DA-4B4D-A0DE-BE033991D175}" type="parTrans" cxnId="{A51B1136-71AC-4193-B1A4-FBABA22CC451}">
      <dgm:prSet/>
      <dgm:spPr/>
      <dgm:t>
        <a:bodyPr/>
        <a:lstStyle/>
        <a:p>
          <a:endParaRPr lang="el-GR"/>
        </a:p>
      </dgm:t>
    </dgm:pt>
    <dgm:pt modelId="{46DA3FE6-7881-4DD2-BD43-46C7DE73855C}" type="sibTrans" cxnId="{A51B1136-71AC-4193-B1A4-FBABA22CC451}">
      <dgm:prSet/>
      <dgm:spPr/>
      <dgm:t>
        <a:bodyPr/>
        <a:lstStyle/>
        <a:p>
          <a:endParaRPr lang="el-GR"/>
        </a:p>
      </dgm:t>
    </dgm:pt>
    <dgm:pt modelId="{8577FF26-0304-48F2-99DE-6B77FD3B220E}">
      <dgm:prSet phldrT="[Κείμενο]" custT="1"/>
      <dgm:spPr/>
      <dgm:t>
        <a:bodyPr/>
        <a:lstStyle/>
        <a:p>
          <a:r>
            <a:rPr lang="el-GR" sz="1000"/>
            <a:t>Συλλογή</a:t>
          </a:r>
        </a:p>
        <a:p>
          <a:r>
            <a:rPr lang="el-GR" sz="1000"/>
            <a:t>Βιβλιογραφίας</a:t>
          </a:r>
        </a:p>
        <a:p>
          <a:endParaRPr lang="el-GR" sz="1000"/>
        </a:p>
      </dgm:t>
    </dgm:pt>
    <dgm:pt modelId="{A5F4FDE9-AC17-4E91-A759-CEF06321E7AA}" type="parTrans" cxnId="{3656C437-C87E-46C5-9850-0ABD86116D89}">
      <dgm:prSet/>
      <dgm:spPr/>
      <dgm:t>
        <a:bodyPr/>
        <a:lstStyle/>
        <a:p>
          <a:endParaRPr lang="el-GR"/>
        </a:p>
      </dgm:t>
    </dgm:pt>
    <dgm:pt modelId="{758FF305-A4A2-47EE-AFEC-C24E3014E1EA}" type="sibTrans" cxnId="{3656C437-C87E-46C5-9850-0ABD86116D89}">
      <dgm:prSet/>
      <dgm:spPr/>
      <dgm:t>
        <a:bodyPr/>
        <a:lstStyle/>
        <a:p>
          <a:endParaRPr lang="el-GR"/>
        </a:p>
      </dgm:t>
    </dgm:pt>
    <dgm:pt modelId="{A6A81188-AD7D-41E2-88CD-2B3A584484EF}">
      <dgm:prSet phldrT="[Κείμενο]" custT="1"/>
      <dgm:spPr/>
      <dgm:t>
        <a:bodyPr/>
        <a:lstStyle/>
        <a:p>
          <a:r>
            <a:rPr lang="el-GR" sz="1000"/>
            <a:t>Μετάφραση Ερωτηματολο-γίου</a:t>
          </a:r>
        </a:p>
      </dgm:t>
    </dgm:pt>
    <dgm:pt modelId="{57B0AD2B-E5E3-4D28-8312-1979FCE1F759}" type="parTrans" cxnId="{61F1648F-1B62-457E-9CC0-E690CC38E5BC}">
      <dgm:prSet/>
      <dgm:spPr/>
      <dgm:t>
        <a:bodyPr/>
        <a:lstStyle/>
        <a:p>
          <a:endParaRPr lang="el-GR"/>
        </a:p>
      </dgm:t>
    </dgm:pt>
    <dgm:pt modelId="{80EC531A-D213-4139-B3D4-8CA27DB8D472}" type="sibTrans" cxnId="{61F1648F-1B62-457E-9CC0-E690CC38E5BC}">
      <dgm:prSet/>
      <dgm:spPr/>
      <dgm:t>
        <a:bodyPr/>
        <a:lstStyle/>
        <a:p>
          <a:endParaRPr lang="el-GR"/>
        </a:p>
      </dgm:t>
    </dgm:pt>
    <dgm:pt modelId="{F88E904F-2E4B-4AD3-9EF4-CC01C0CFA4B0}">
      <dgm:prSet phldrT="[Κείμενο]" custT="1"/>
      <dgm:spPr/>
      <dgm:t>
        <a:bodyPr/>
        <a:lstStyle/>
        <a:p>
          <a:r>
            <a:rPr lang="el-GR" sz="1000"/>
            <a:t>Χορήγηση Ερωτηματολο-γίου</a:t>
          </a:r>
        </a:p>
      </dgm:t>
    </dgm:pt>
    <dgm:pt modelId="{BB987EB3-D723-4F05-AEFF-8E1204D5B0AF}" type="parTrans" cxnId="{A69910CE-9895-4A5A-8D48-55674656FD7C}">
      <dgm:prSet/>
      <dgm:spPr/>
      <dgm:t>
        <a:bodyPr/>
        <a:lstStyle/>
        <a:p>
          <a:endParaRPr lang="el-GR"/>
        </a:p>
      </dgm:t>
    </dgm:pt>
    <dgm:pt modelId="{272A18A1-28A0-47D9-8811-FAAD221EA4EC}" type="sibTrans" cxnId="{A69910CE-9895-4A5A-8D48-55674656FD7C}">
      <dgm:prSet/>
      <dgm:spPr/>
      <dgm:t>
        <a:bodyPr/>
        <a:lstStyle/>
        <a:p>
          <a:endParaRPr lang="el-GR"/>
        </a:p>
      </dgm:t>
    </dgm:pt>
    <dgm:pt modelId="{B1B751DE-C036-4E06-A98B-3C52095F0B9C}" type="pres">
      <dgm:prSet presAssocID="{21249CBD-3E6B-4138-8CDE-F7619D53E376}" presName="compositeShape" presStyleCnt="0">
        <dgm:presLayoutVars>
          <dgm:chMax val="9"/>
          <dgm:dir/>
          <dgm:resizeHandles val="exact"/>
        </dgm:presLayoutVars>
      </dgm:prSet>
      <dgm:spPr/>
    </dgm:pt>
    <dgm:pt modelId="{803A2D4C-8FB6-4241-9997-410A13A5DA6C}" type="pres">
      <dgm:prSet presAssocID="{21249CBD-3E6B-4138-8CDE-F7619D53E376}" presName="triangle1" presStyleLbl="node1" presStyleIdx="0" presStyleCnt="4">
        <dgm:presLayoutVars>
          <dgm:bulletEnabled val="1"/>
        </dgm:presLayoutVars>
      </dgm:prSet>
      <dgm:spPr/>
    </dgm:pt>
    <dgm:pt modelId="{44ED4805-1B0D-4B9E-8113-40679C7C865A}" type="pres">
      <dgm:prSet presAssocID="{21249CBD-3E6B-4138-8CDE-F7619D53E376}" presName="triangle2" presStyleLbl="node1" presStyleIdx="1" presStyleCnt="4">
        <dgm:presLayoutVars>
          <dgm:bulletEnabled val="1"/>
        </dgm:presLayoutVars>
      </dgm:prSet>
      <dgm:spPr/>
    </dgm:pt>
    <dgm:pt modelId="{9D985AAD-4C7D-42CE-92D7-6487C2537FE6}" type="pres">
      <dgm:prSet presAssocID="{21249CBD-3E6B-4138-8CDE-F7619D53E376}" presName="triangle3" presStyleLbl="node1" presStyleIdx="2" presStyleCnt="4">
        <dgm:presLayoutVars>
          <dgm:bulletEnabled val="1"/>
        </dgm:presLayoutVars>
      </dgm:prSet>
      <dgm:spPr/>
    </dgm:pt>
    <dgm:pt modelId="{B53BA64C-2611-4C3C-918A-AB890AA48A78}" type="pres">
      <dgm:prSet presAssocID="{21249CBD-3E6B-4138-8CDE-F7619D53E376}" presName="triangle4" presStyleLbl="node1" presStyleIdx="3" presStyleCnt="4">
        <dgm:presLayoutVars>
          <dgm:bulletEnabled val="1"/>
        </dgm:presLayoutVars>
      </dgm:prSet>
      <dgm:spPr/>
    </dgm:pt>
  </dgm:ptLst>
  <dgm:cxnLst>
    <dgm:cxn modelId="{EB69F925-2F1C-1045-BC58-6A6DBCE698C7}" type="presOf" srcId="{21249CBD-3E6B-4138-8CDE-F7619D53E376}" destId="{B1B751DE-C036-4E06-A98B-3C52095F0B9C}" srcOrd="0" destOrd="0" presId="urn:microsoft.com/office/officeart/2005/8/layout/pyramid4"/>
    <dgm:cxn modelId="{9034EB33-2645-B74E-BFD1-4BA13770AEC6}" type="presOf" srcId="{771CA30B-E219-403D-8FC6-1F05ED47E99F}" destId="{803A2D4C-8FB6-4241-9997-410A13A5DA6C}" srcOrd="0" destOrd="0" presId="urn:microsoft.com/office/officeart/2005/8/layout/pyramid4"/>
    <dgm:cxn modelId="{A51B1136-71AC-4193-B1A4-FBABA22CC451}" srcId="{21249CBD-3E6B-4138-8CDE-F7619D53E376}" destId="{771CA30B-E219-403D-8FC6-1F05ED47E99F}" srcOrd="0" destOrd="0" parTransId="{24DB25A0-03DA-4B4D-A0DE-BE033991D175}" sibTransId="{46DA3FE6-7881-4DD2-BD43-46C7DE73855C}"/>
    <dgm:cxn modelId="{3656C437-C87E-46C5-9850-0ABD86116D89}" srcId="{21249CBD-3E6B-4138-8CDE-F7619D53E376}" destId="{8577FF26-0304-48F2-99DE-6B77FD3B220E}" srcOrd="1" destOrd="0" parTransId="{A5F4FDE9-AC17-4E91-A759-CEF06321E7AA}" sibTransId="{758FF305-A4A2-47EE-AFEC-C24E3014E1EA}"/>
    <dgm:cxn modelId="{8D66EC77-018F-A844-A5ED-4CA09247B0AA}" type="presOf" srcId="{8577FF26-0304-48F2-99DE-6B77FD3B220E}" destId="{44ED4805-1B0D-4B9E-8113-40679C7C865A}" srcOrd="0" destOrd="0" presId="urn:microsoft.com/office/officeart/2005/8/layout/pyramid4"/>
    <dgm:cxn modelId="{703B048B-E71B-6249-BDCE-405015C6FB6D}" type="presOf" srcId="{A6A81188-AD7D-41E2-88CD-2B3A584484EF}" destId="{9D985AAD-4C7D-42CE-92D7-6487C2537FE6}" srcOrd="0" destOrd="0" presId="urn:microsoft.com/office/officeart/2005/8/layout/pyramid4"/>
    <dgm:cxn modelId="{61F1648F-1B62-457E-9CC0-E690CC38E5BC}" srcId="{21249CBD-3E6B-4138-8CDE-F7619D53E376}" destId="{A6A81188-AD7D-41E2-88CD-2B3A584484EF}" srcOrd="2" destOrd="0" parTransId="{57B0AD2B-E5E3-4D28-8312-1979FCE1F759}" sibTransId="{80EC531A-D213-4139-B3D4-8CA27DB8D472}"/>
    <dgm:cxn modelId="{267CA1B5-183F-604B-B64F-AB28783B5709}" type="presOf" srcId="{F88E904F-2E4B-4AD3-9EF4-CC01C0CFA4B0}" destId="{B53BA64C-2611-4C3C-918A-AB890AA48A78}" srcOrd="0" destOrd="0" presId="urn:microsoft.com/office/officeart/2005/8/layout/pyramid4"/>
    <dgm:cxn modelId="{A69910CE-9895-4A5A-8D48-55674656FD7C}" srcId="{21249CBD-3E6B-4138-8CDE-F7619D53E376}" destId="{F88E904F-2E4B-4AD3-9EF4-CC01C0CFA4B0}" srcOrd="3" destOrd="0" parTransId="{BB987EB3-D723-4F05-AEFF-8E1204D5B0AF}" sibTransId="{272A18A1-28A0-47D9-8811-FAAD221EA4EC}"/>
    <dgm:cxn modelId="{3A2D00E0-8205-7B4E-9EB0-FAF7AA64260D}" type="presParOf" srcId="{B1B751DE-C036-4E06-A98B-3C52095F0B9C}" destId="{803A2D4C-8FB6-4241-9997-410A13A5DA6C}" srcOrd="0" destOrd="0" presId="urn:microsoft.com/office/officeart/2005/8/layout/pyramid4"/>
    <dgm:cxn modelId="{A9435820-0AE7-6347-A2B6-6C9DC2883C4D}" type="presParOf" srcId="{B1B751DE-C036-4E06-A98B-3C52095F0B9C}" destId="{44ED4805-1B0D-4B9E-8113-40679C7C865A}" srcOrd="1" destOrd="0" presId="urn:microsoft.com/office/officeart/2005/8/layout/pyramid4"/>
    <dgm:cxn modelId="{122CC92F-418F-454C-AF42-0C1508ACC748}" type="presParOf" srcId="{B1B751DE-C036-4E06-A98B-3C52095F0B9C}" destId="{9D985AAD-4C7D-42CE-92D7-6487C2537FE6}" srcOrd="2" destOrd="0" presId="urn:microsoft.com/office/officeart/2005/8/layout/pyramid4"/>
    <dgm:cxn modelId="{ABA08A5E-295E-EE45-8DBC-24E1AECAC306}" type="presParOf" srcId="{B1B751DE-C036-4E06-A98B-3C52095F0B9C}" destId="{B53BA64C-2611-4C3C-918A-AB890AA48A78}" srcOrd="3" destOrd="0" presId="urn:microsoft.com/office/officeart/2005/8/layout/pyramid4"/>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F5634E8-6FD4-46CF-954F-12A3C368572A}">
      <dsp:nvSpPr>
        <dsp:cNvPr id="0" name=""/>
        <dsp:cNvSpPr/>
      </dsp:nvSpPr>
      <dsp:spPr>
        <a:xfrm rot="5400000">
          <a:off x="-154462" y="155539"/>
          <a:ext cx="1029747" cy="720823"/>
        </a:xfrm>
        <a:prstGeom prst="chevron">
          <a:avLst/>
        </a:prstGeom>
        <a:solidFill>
          <a:schemeClr val="tx2">
            <a:lumMod val="75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r>
            <a:rPr lang="el-GR" sz="2100" kern="1200">
              <a:latin typeface="Times New Roman" pitchFamily="18" charset="0"/>
              <a:cs typeface="Times New Roman" pitchFamily="18" charset="0"/>
            </a:rPr>
            <a:t>1ο</a:t>
          </a:r>
        </a:p>
      </dsp:txBody>
      <dsp:txXfrm rot="-5400000">
        <a:off x="1" y="361489"/>
        <a:ext cx="720823" cy="308924"/>
      </dsp:txXfrm>
    </dsp:sp>
    <dsp:sp modelId="{239486C5-E81E-47FC-B458-8EBBF3031CF3}">
      <dsp:nvSpPr>
        <dsp:cNvPr id="0" name=""/>
        <dsp:cNvSpPr/>
      </dsp:nvSpPr>
      <dsp:spPr>
        <a:xfrm rot="5400000">
          <a:off x="2680996" y="-1959094"/>
          <a:ext cx="669336" cy="4589681"/>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7584" tIns="20320" rIns="20320" bIns="20320" numCol="1" spcCol="1270" anchor="ctr" anchorCtr="0">
          <a:noAutofit/>
        </a:bodyPr>
        <a:lstStyle/>
        <a:p>
          <a:pPr marL="285750" lvl="1" indent="-285750" algn="l" defTabSz="1422400">
            <a:lnSpc>
              <a:spcPct val="90000"/>
            </a:lnSpc>
            <a:spcBef>
              <a:spcPct val="0"/>
            </a:spcBef>
            <a:spcAft>
              <a:spcPct val="15000"/>
            </a:spcAft>
            <a:buChar char="•"/>
          </a:pPr>
          <a:r>
            <a:rPr lang="el-GR" sz="3200" kern="1200">
              <a:latin typeface="Times New Roman" pitchFamily="18" charset="0"/>
              <a:cs typeface="Times New Roman" pitchFamily="18" charset="0"/>
            </a:rPr>
            <a:t>Στοματικό στάδιο</a:t>
          </a:r>
        </a:p>
      </dsp:txBody>
      <dsp:txXfrm rot="-5400000">
        <a:off x="720824" y="33752"/>
        <a:ext cx="4557007" cy="603988"/>
      </dsp:txXfrm>
    </dsp:sp>
    <dsp:sp modelId="{3C3EE8ED-8AE9-40C6-B944-E8A947E8DF06}">
      <dsp:nvSpPr>
        <dsp:cNvPr id="0" name=""/>
        <dsp:cNvSpPr/>
      </dsp:nvSpPr>
      <dsp:spPr>
        <a:xfrm rot="5400000">
          <a:off x="-154462" y="979438"/>
          <a:ext cx="1029747" cy="720823"/>
        </a:xfrm>
        <a:prstGeom prst="chevron">
          <a:avLst/>
        </a:prstGeom>
        <a:solidFill>
          <a:schemeClr val="tx2">
            <a:lumMod val="60000"/>
            <a:lumOff val="4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r>
            <a:rPr lang="el-GR" sz="2100" kern="1200">
              <a:latin typeface="Times New Roman" pitchFamily="18" charset="0"/>
              <a:cs typeface="Times New Roman" pitchFamily="18" charset="0"/>
            </a:rPr>
            <a:t>2ο</a:t>
          </a:r>
        </a:p>
      </dsp:txBody>
      <dsp:txXfrm rot="-5400000">
        <a:off x="1" y="1185388"/>
        <a:ext cx="720823" cy="308924"/>
      </dsp:txXfrm>
    </dsp:sp>
    <dsp:sp modelId="{6A007CF7-375F-4D13-B038-2A1D2C8DADF6}">
      <dsp:nvSpPr>
        <dsp:cNvPr id="0" name=""/>
        <dsp:cNvSpPr/>
      </dsp:nvSpPr>
      <dsp:spPr>
        <a:xfrm rot="5400000">
          <a:off x="2680996" y="-1135196"/>
          <a:ext cx="669336" cy="4589681"/>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7584" tIns="20320" rIns="20320" bIns="20320" numCol="1" spcCol="1270" anchor="ctr" anchorCtr="0">
          <a:noAutofit/>
        </a:bodyPr>
        <a:lstStyle/>
        <a:p>
          <a:pPr marL="285750" lvl="1" indent="-285750" algn="l" defTabSz="1422400">
            <a:lnSpc>
              <a:spcPct val="90000"/>
            </a:lnSpc>
            <a:spcBef>
              <a:spcPct val="0"/>
            </a:spcBef>
            <a:spcAft>
              <a:spcPct val="15000"/>
            </a:spcAft>
            <a:buChar char="•"/>
          </a:pPr>
          <a:r>
            <a:rPr lang="el-GR" sz="3200" kern="1200">
              <a:latin typeface="Times New Roman" pitchFamily="18" charset="0"/>
              <a:cs typeface="Times New Roman" pitchFamily="18" charset="0"/>
            </a:rPr>
            <a:t>Φαρυγγικό στάδιο</a:t>
          </a:r>
          <a:endParaRPr lang="el-GR" sz="3900" kern="1200">
            <a:latin typeface="Times New Roman" pitchFamily="18" charset="0"/>
            <a:cs typeface="Times New Roman" pitchFamily="18" charset="0"/>
          </a:endParaRPr>
        </a:p>
      </dsp:txBody>
      <dsp:txXfrm rot="-5400000">
        <a:off x="720824" y="857650"/>
        <a:ext cx="4557007" cy="603988"/>
      </dsp:txXfrm>
    </dsp:sp>
    <dsp:sp modelId="{9F5B36C4-7B4A-4754-8AD9-F89E814DD545}">
      <dsp:nvSpPr>
        <dsp:cNvPr id="0" name=""/>
        <dsp:cNvSpPr/>
      </dsp:nvSpPr>
      <dsp:spPr>
        <a:xfrm rot="5400000">
          <a:off x="-154462" y="1803336"/>
          <a:ext cx="1029747" cy="720823"/>
        </a:xfrm>
        <a:prstGeom prst="chevron">
          <a:avLst/>
        </a:prstGeom>
        <a:solidFill>
          <a:schemeClr val="tx2">
            <a:lumMod val="20000"/>
            <a:lumOff val="8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r>
            <a:rPr lang="el-GR" sz="2100" kern="1200">
              <a:latin typeface="Times New Roman" pitchFamily="18" charset="0"/>
              <a:cs typeface="Times New Roman" pitchFamily="18" charset="0"/>
            </a:rPr>
            <a:t>3ο</a:t>
          </a:r>
        </a:p>
      </dsp:txBody>
      <dsp:txXfrm rot="-5400000">
        <a:off x="1" y="2009286"/>
        <a:ext cx="720823" cy="308924"/>
      </dsp:txXfrm>
    </dsp:sp>
    <dsp:sp modelId="{5B034579-8BE6-4D85-A0D0-5F65E376A4C5}">
      <dsp:nvSpPr>
        <dsp:cNvPr id="0" name=""/>
        <dsp:cNvSpPr/>
      </dsp:nvSpPr>
      <dsp:spPr>
        <a:xfrm rot="5400000">
          <a:off x="2680996" y="-311298"/>
          <a:ext cx="669336" cy="4589681"/>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7584" tIns="20320" rIns="20320" bIns="20320" numCol="1" spcCol="1270" anchor="ctr" anchorCtr="0">
          <a:noAutofit/>
        </a:bodyPr>
        <a:lstStyle/>
        <a:p>
          <a:pPr marL="285750" lvl="1" indent="-285750" algn="l" defTabSz="1422400">
            <a:lnSpc>
              <a:spcPct val="90000"/>
            </a:lnSpc>
            <a:spcBef>
              <a:spcPct val="0"/>
            </a:spcBef>
            <a:spcAft>
              <a:spcPct val="15000"/>
            </a:spcAft>
            <a:buChar char="•"/>
          </a:pPr>
          <a:r>
            <a:rPr lang="el-GR" sz="3200" kern="1200">
              <a:latin typeface="Times New Roman" pitchFamily="18" charset="0"/>
              <a:cs typeface="Times New Roman" pitchFamily="18" charset="0"/>
            </a:rPr>
            <a:t>Οισοφαγικό στάδιο</a:t>
          </a:r>
        </a:p>
      </dsp:txBody>
      <dsp:txXfrm rot="-5400000">
        <a:off x="720824" y="1681548"/>
        <a:ext cx="4557007" cy="60398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03A2D4C-8FB6-4241-9997-410A13A5DA6C}">
      <dsp:nvSpPr>
        <dsp:cNvPr id="0" name=""/>
        <dsp:cNvSpPr/>
      </dsp:nvSpPr>
      <dsp:spPr>
        <a:xfrm>
          <a:off x="1935956" y="0"/>
          <a:ext cx="1793557" cy="1793557"/>
        </a:xfrm>
        <a:prstGeom prst="triangle">
          <a:avLst/>
        </a:prstGeom>
        <a:solidFill>
          <a:schemeClr val="accent1">
            <a:shade val="80000"/>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l-GR" sz="900" kern="1200"/>
            <a:t>Κωδικοποίηηση, ανάλυση, ερμηνεία αποτελεσμάτων</a:t>
          </a:r>
        </a:p>
      </dsp:txBody>
      <dsp:txXfrm>
        <a:off x="2384345" y="896779"/>
        <a:ext cx="896779" cy="896778"/>
      </dsp:txXfrm>
    </dsp:sp>
    <dsp:sp modelId="{44ED4805-1B0D-4B9E-8113-40679C7C865A}">
      <dsp:nvSpPr>
        <dsp:cNvPr id="0" name=""/>
        <dsp:cNvSpPr/>
      </dsp:nvSpPr>
      <dsp:spPr>
        <a:xfrm>
          <a:off x="1039177" y="1793557"/>
          <a:ext cx="1793557" cy="1793557"/>
        </a:xfrm>
        <a:prstGeom prst="triangle">
          <a:avLst/>
        </a:prstGeom>
        <a:solidFill>
          <a:schemeClr val="accent1">
            <a:shade val="80000"/>
            <a:hueOff val="102082"/>
            <a:satOff val="-1464"/>
            <a:lumOff val="8538"/>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l-GR" sz="1000" kern="1200"/>
            <a:t>Συλλογή</a:t>
          </a:r>
        </a:p>
        <a:p>
          <a:pPr marL="0" lvl="0" indent="0" algn="ctr" defTabSz="444500">
            <a:lnSpc>
              <a:spcPct val="90000"/>
            </a:lnSpc>
            <a:spcBef>
              <a:spcPct val="0"/>
            </a:spcBef>
            <a:spcAft>
              <a:spcPct val="35000"/>
            </a:spcAft>
            <a:buNone/>
          </a:pPr>
          <a:r>
            <a:rPr lang="el-GR" sz="1000" kern="1200"/>
            <a:t>Βιβλιογραφίας</a:t>
          </a:r>
        </a:p>
        <a:p>
          <a:pPr marL="0" lvl="0" indent="0" algn="ctr" defTabSz="444500">
            <a:lnSpc>
              <a:spcPct val="90000"/>
            </a:lnSpc>
            <a:spcBef>
              <a:spcPct val="0"/>
            </a:spcBef>
            <a:spcAft>
              <a:spcPct val="35000"/>
            </a:spcAft>
            <a:buNone/>
          </a:pPr>
          <a:endParaRPr lang="el-GR" sz="1000" kern="1200"/>
        </a:p>
      </dsp:txBody>
      <dsp:txXfrm>
        <a:off x="1487566" y="2690336"/>
        <a:ext cx="896779" cy="896778"/>
      </dsp:txXfrm>
    </dsp:sp>
    <dsp:sp modelId="{9D985AAD-4C7D-42CE-92D7-6487C2537FE6}">
      <dsp:nvSpPr>
        <dsp:cNvPr id="0" name=""/>
        <dsp:cNvSpPr/>
      </dsp:nvSpPr>
      <dsp:spPr>
        <a:xfrm rot="10800000">
          <a:off x="1935956" y="1793557"/>
          <a:ext cx="1793557" cy="1793557"/>
        </a:xfrm>
        <a:prstGeom prst="triangle">
          <a:avLst/>
        </a:prstGeom>
        <a:solidFill>
          <a:schemeClr val="accent1">
            <a:shade val="80000"/>
            <a:hueOff val="204164"/>
            <a:satOff val="-2928"/>
            <a:lumOff val="17077"/>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l-GR" sz="1000" kern="1200"/>
            <a:t>Μετάφραση Ερωτηματολο-γίου</a:t>
          </a:r>
        </a:p>
      </dsp:txBody>
      <dsp:txXfrm rot="10800000">
        <a:off x="2384345" y="1793557"/>
        <a:ext cx="896779" cy="896778"/>
      </dsp:txXfrm>
    </dsp:sp>
    <dsp:sp modelId="{B53BA64C-2611-4C3C-918A-AB890AA48A78}">
      <dsp:nvSpPr>
        <dsp:cNvPr id="0" name=""/>
        <dsp:cNvSpPr/>
      </dsp:nvSpPr>
      <dsp:spPr>
        <a:xfrm>
          <a:off x="2832735" y="1793557"/>
          <a:ext cx="1793557" cy="1793557"/>
        </a:xfrm>
        <a:prstGeom prst="triangle">
          <a:avLst/>
        </a:prstGeom>
        <a:solidFill>
          <a:schemeClr val="accent1">
            <a:shade val="80000"/>
            <a:hueOff val="306246"/>
            <a:satOff val="-4392"/>
            <a:lumOff val="25615"/>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l-GR" sz="1000" kern="1200"/>
            <a:t>Χορήγηση Ερωτηματολο-γίου</a:t>
          </a:r>
        </a:p>
      </dsp:txBody>
      <dsp:txXfrm>
        <a:off x="3281124" y="2690336"/>
        <a:ext cx="896779" cy="896778"/>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yramid4">
  <dgm:title val=""/>
  <dgm:desc val=""/>
  <dgm:catLst>
    <dgm:cat type="pyramid" pri="4000"/>
    <dgm:cat type="relationship" pri="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useDef="1">
    <dgm:dataModel>
      <dgm:ptLst/>
      <dgm:bg/>
      <dgm:whole/>
    </dgm:dataModel>
  </dgm:styleData>
  <dgm:clrData useDef="1">
    <dgm:dataModel>
      <dgm:ptLst/>
      <dgm:bg/>
      <dgm:whole/>
    </dgm:dataModel>
  </dgm:clrData>
  <dgm:layoutNode name="compositeShape">
    <dgm:varLst>
      <dgm:chMax val="9"/>
      <dgm:dir/>
      <dgm:resizeHandles val="exact"/>
    </dgm:varLst>
    <dgm:alg type="composite">
      <dgm:param type="ar" val="1"/>
    </dgm:alg>
    <dgm:shape xmlns:r="http://schemas.openxmlformats.org/officeDocument/2006/relationships" r:blip="">
      <dgm:adjLst/>
    </dgm:shape>
    <dgm:presOf/>
    <dgm:choose name="Name0">
      <dgm:if name="Name1" axis="ch" ptType="node" func="cnt" op="lte" val="4">
        <dgm:choose name="Name2">
          <dgm:if name="Name3" axis="ch" ptType="node" func="cnt" op="equ" val="1">
            <dgm:constrLst>
              <dgm:constr type="primFontSz" for="ch" ptType="node" op="equ" val="65"/>
              <dgm:constr type="t" for="ch" forName="triangle1"/>
              <dgm:constr type="l" for="ch" forName="triangle1"/>
              <dgm:constr type="h" for="ch" forName="triangle1" refType="h"/>
              <dgm:constr type="w" for="ch" forName="triangle1" refType="h"/>
            </dgm:constrLst>
          </dgm:if>
          <dgm:else name="Name4">
            <dgm:constrLst>
              <dgm:constr type="primFontSz" for="ch" ptType="node" op="equ" val="65"/>
              <dgm:constr type="t" for="ch" forName="triangle1"/>
              <dgm:constr type="l" for="ch" forName="triangle1" refType="h" fact="0.25"/>
              <dgm:constr type="h" for="ch" forName="triangle1" refType="h" fact="0.5"/>
              <dgm:constr type="w" for="ch" forName="triangle1" refType="h" fact="0.5"/>
              <dgm:constr type="t" for="ch" forName="triangle2" refType="h" fact="0.5"/>
              <dgm:constr type="l" for="ch" forName="triangle2"/>
              <dgm:constr type="h" for="ch" forName="triangle2" refType="h" fact="0.5"/>
              <dgm:constr type="w" for="ch" forName="triangle2" refType="h" fact="0.5"/>
              <dgm:constr type="t" for="ch" forName="triangle3" refType="h" fact="0.5"/>
              <dgm:constr type="l" for="ch" forName="triangle3" refType="h" fact="0.25"/>
              <dgm:constr type="h" for="ch" forName="triangle3" refType="h" fact="0.5"/>
              <dgm:constr type="w" for="ch" forName="triangle3" refType="h" fact="0.5"/>
              <dgm:constr type="t" for="ch" forName="triangle4" refType="h" fact="0.5"/>
              <dgm:constr type="l" for="ch" forName="triangle4" refType="h" fact="0.5"/>
              <dgm:constr type="h" for="ch" forName="triangle4" refType="h" fact="0.5"/>
              <dgm:constr type="w" for="ch" forName="triangle4" refType="h" fact="0.5"/>
            </dgm:constrLst>
          </dgm:else>
        </dgm:choose>
      </dgm:if>
      <dgm:else name="Name5">
        <dgm:constrLst>
          <dgm:constr type="primFontSz" for="ch" ptType="node" op="equ" val="65"/>
          <dgm:constr type="t" for="ch" forName="triangle1"/>
          <dgm:constr type="l" for="ch" forName="triangle1" refType="h" fact="0.33"/>
          <dgm:constr type="h" for="ch" forName="triangle1" refType="h" fact="0.33"/>
          <dgm:constr type="w" for="ch" forName="triangle1" refType="h" fact="0.33"/>
          <dgm:constr type="t" for="ch" forName="triangle2" refType="h" fact="0.33"/>
          <dgm:constr type="l" for="ch" forName="triangle2" refType="h" fact="0.165"/>
          <dgm:constr type="h" for="ch" forName="triangle2" refType="h" fact="0.33"/>
          <dgm:constr type="w" for="ch" forName="triangle2" refType="h" fact="0.33"/>
          <dgm:constr type="t" for="ch" forName="triangle3" refType="h" fact="0.33"/>
          <dgm:constr type="l" for="ch" forName="triangle3" refType="h" fact="0.33"/>
          <dgm:constr type="h" for="ch" forName="triangle3" refType="h" fact="0.33"/>
          <dgm:constr type="w" for="ch" forName="triangle3" refType="h" fact="0.33"/>
          <dgm:constr type="t" for="ch" forName="triangle4" refType="h" fact="0.33"/>
          <dgm:constr type="l" for="ch" forName="triangle4" refType="h" fact="0.495"/>
          <dgm:constr type="h" for="ch" forName="triangle4" refType="h" fact="0.33"/>
          <dgm:constr type="w" for="ch" forName="triangle4" refType="h" fact="0.33"/>
          <dgm:constr type="t" for="ch" forName="triangle5" refType="h" fact="0.66"/>
          <dgm:constr type="l" for="ch" forName="triangle5"/>
          <dgm:constr type="h" for="ch" forName="triangle5" refType="h" fact="0.33"/>
          <dgm:constr type="w" for="ch" forName="triangle5" refType="h" fact="0.33"/>
          <dgm:constr type="t" for="ch" forName="triangle6" refType="h" fact="0.66"/>
          <dgm:constr type="l" for="ch" forName="triangle6" refType="h" fact="0.165"/>
          <dgm:constr type="h" for="ch" forName="triangle6" refType="h" fact="0.33"/>
          <dgm:constr type="w" for="ch" forName="triangle6" refType="h" fact="0.33"/>
          <dgm:constr type="t" for="ch" forName="triangle7" refType="h" fact="0.66"/>
          <dgm:constr type="l" for="ch" forName="triangle7" refType="h" fact="0.33"/>
          <dgm:constr type="h" for="ch" forName="triangle7" refType="h" fact="0.33"/>
          <dgm:constr type="w" for="ch" forName="triangle7" refType="h" fact="0.33"/>
          <dgm:constr type="t" for="ch" forName="triangle8" refType="h" fact="0.66"/>
          <dgm:constr type="l" for="ch" forName="triangle8" refType="h" fact="0.495"/>
          <dgm:constr type="h" for="ch" forName="triangle8" refType="h" fact="0.33"/>
          <dgm:constr type="w" for="ch" forName="triangle8" refType="h" fact="0.33"/>
          <dgm:constr type="t" for="ch" forName="triangle9" refType="h" fact="0.66"/>
          <dgm:constr type="l" for="ch" forName="triangle9" refType="h" fact="0.66"/>
          <dgm:constr type="h" for="ch" forName="triangle9" refType="h" fact="0.33"/>
          <dgm:constr type="w" for="ch" forName="triangle9" refType="h" fact="0.33"/>
        </dgm:constrLst>
      </dgm:else>
    </dgm:choose>
    <dgm:ruleLst/>
    <dgm:choose name="Name6">
      <dgm:if name="Name7" axis="ch" ptType="node" func="cnt" op="gte" val="1">
        <dgm:layoutNode name="triangle1" styleLbl="node1">
          <dgm:varLst>
            <dgm:bulletEnabled val="1"/>
          </dgm:varLst>
          <dgm:alg type="tx">
            <dgm:param type="txAnchorVertCh" val="mid"/>
          </dgm:alg>
          <dgm:shape xmlns:r="http://schemas.openxmlformats.org/officeDocument/2006/relationships" type="triangle"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8"/>
    </dgm:choose>
    <dgm:choose name="Name9">
      <dgm:if name="Name10" axis="ch" ptType="node" func="cnt" op="gte" val="2">
        <dgm:layoutNode name="triangle2" styleLbl="node1">
          <dgm:varLst>
            <dgm:bulletEnabled val="1"/>
          </dgm:varLst>
          <dgm:alg type="tx">
            <dgm:param type="txAnchorVertCh" val="mid"/>
          </dgm:alg>
          <dgm:shape xmlns:r="http://schemas.openxmlformats.org/officeDocument/2006/relationships" type="triangle" r:blip="">
            <dgm:adjLst/>
          </dgm:shape>
          <dgm:choose name="Name11">
            <dgm:if name="Name12" func="var" arg="dir" op="equ" val="norm">
              <dgm:presOf axis="ch desOrSelf" ptType="node node" st="2 1" cnt="1 0"/>
            </dgm:if>
            <dgm:else name="Name13">
              <dgm:presOf axis="ch desOrSelf" ptType="node node" st="4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3" styleLbl="node1">
          <dgm:varLst>
            <dgm:bulletEnabled val="1"/>
          </dgm:varLst>
          <dgm:alg type="tx">
            <dgm:param type="txAnchorVertCh" val="mid"/>
          </dgm:alg>
          <dgm:shape xmlns:r="http://schemas.openxmlformats.org/officeDocument/2006/relationships" rot="180" type="triangle"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4" styleLbl="node1">
          <dgm:varLst>
            <dgm:bulletEnabled val="1"/>
          </dgm:varLst>
          <dgm:alg type="tx">
            <dgm:param type="txAnchorVertCh" val="mid"/>
          </dgm:alg>
          <dgm:shape xmlns:r="http://schemas.openxmlformats.org/officeDocument/2006/relationships" type="triangle" r:blip="">
            <dgm:adjLst/>
          </dgm:shape>
          <dgm:choose name="Name14">
            <dgm:if name="Name15" func="var" arg="dir" op="equ" val="norm">
              <dgm:presOf axis="ch desOrSelf" ptType="node node" st="4 1" cnt="1 0"/>
            </dgm:if>
            <dgm:else name="Name16">
              <dgm:presOf axis="ch desOrSelf" ptType="node node" st="2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7"/>
    </dgm:choose>
    <dgm:choose name="Name18">
      <dgm:if name="Name19" axis="ch" ptType="node" func="cnt" op="gte" val="5">
        <dgm:layoutNode name="triangle5" styleLbl="node1">
          <dgm:varLst>
            <dgm:bulletEnabled val="1"/>
          </dgm:varLst>
          <dgm:alg type="tx">
            <dgm:param type="txAnchorVertCh" val="mid"/>
          </dgm:alg>
          <dgm:shape xmlns:r="http://schemas.openxmlformats.org/officeDocument/2006/relationships" type="triangle" r:blip="">
            <dgm:adjLst/>
          </dgm:shape>
          <dgm:choose name="Name20">
            <dgm:if name="Name21" func="var" arg="dir" op="equ" val="norm">
              <dgm:presOf axis="ch desOrSelf" ptType="node node" st="5 1" cnt="1 0"/>
            </dgm:if>
            <dgm:else name="Name22">
              <dgm:presOf axis="ch desOrSelf" ptType="node node" st="9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6" styleLbl="node1">
          <dgm:varLst>
            <dgm:bulletEnabled val="1"/>
          </dgm:varLst>
          <dgm:alg type="tx">
            <dgm:param type="txAnchorVertCh" val="mid"/>
          </dgm:alg>
          <dgm:shape xmlns:r="http://schemas.openxmlformats.org/officeDocument/2006/relationships" rot="180" type="triangle" r:blip="">
            <dgm:adjLst/>
          </dgm:shape>
          <dgm:choose name="Name23">
            <dgm:if name="Name24" func="var" arg="dir" op="equ" val="norm">
              <dgm:presOf axis="ch desOrSelf" ptType="node node" st="6 1" cnt="1 0"/>
            </dgm:if>
            <dgm:else name="Name25">
              <dgm:presOf axis="ch desOrSelf" ptType="node node" st="8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7" styleLbl="node1">
          <dgm:varLst>
            <dgm:bulletEnabled val="1"/>
          </dgm:varLst>
          <dgm:alg type="tx">
            <dgm:param type="txAnchorVertCh" val="mid"/>
          </dgm:alg>
          <dgm:shape xmlns:r="http://schemas.openxmlformats.org/officeDocument/2006/relationships" type="triangle" r:blip="">
            <dgm:adjLst/>
          </dgm:shape>
          <dgm:presOf axis="ch desOrSelf" ptType="node node" st="7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8" styleLbl="node1">
          <dgm:varLst>
            <dgm:bulletEnabled val="1"/>
          </dgm:varLst>
          <dgm:alg type="tx">
            <dgm:param type="txAnchorVertCh" val="mid"/>
          </dgm:alg>
          <dgm:shape xmlns:r="http://schemas.openxmlformats.org/officeDocument/2006/relationships" rot="180" type="triangle" r:blip="">
            <dgm:adjLst/>
          </dgm:shape>
          <dgm:choose name="Name26">
            <dgm:if name="Name27" func="var" arg="dir" op="equ" val="norm">
              <dgm:presOf axis="ch desOrSelf" ptType="node node" st="8 1" cnt="1 0"/>
            </dgm:if>
            <dgm:else name="Name28">
              <dgm:presOf axis="ch desOrSelf" ptType="node node" st="6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9" styleLbl="node1">
          <dgm:varLst>
            <dgm:bulletEnabled val="1"/>
          </dgm:varLst>
          <dgm:alg type="tx">
            <dgm:param type="txAnchorVertCh" val="mid"/>
          </dgm:alg>
          <dgm:shape xmlns:r="http://schemas.openxmlformats.org/officeDocument/2006/relationships" type="triangle" r:blip="">
            <dgm:adjLst/>
          </dgm:shape>
          <dgm:choose name="Name29">
            <dgm:if name="Name30" func="var" arg="dir" op="equ" val="norm">
              <dgm:presOf axis="ch desOrSelf" ptType="node node" st="9 1" cnt="1 0"/>
            </dgm:if>
            <dgm:else name="Name31">
              <dgm:presOf axis="ch desOrSelf" ptType="node node" st="5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2"/>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5">
  <dgm:title val=""/>
  <dgm:desc val=""/>
  <dgm:catLst>
    <dgm:cat type="3D" pri="11500"/>
  </dgm:catLst>
  <dgm:scene3d>
    <a:camera prst="isometricOffAxis2Left" zoom="95000"/>
    <a:lightRig rig="flat" dir="t"/>
  </dgm:scene3d>
  <dgm:styleLbl name="node0">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extrusionH="381000" contourW="38100" prstMaterial="matte">
      <a:contourClr>
        <a:schemeClr val="lt1"/>
      </a:contourClr>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z="5715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dgm:scene3d>
    <dgm:sp3d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dgm:scene3d>
    <dgm:sp3d z="-381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dgm:scene3d>
    <dgm:sp3d z="-52400" extrusionH="1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z="5715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z="-38100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z="52400"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z="52400"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60000" extrusionH="63500" prstMaterial="matte"/>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z="-60000" extrusionH="63500" prstMaterial="matte"/>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extrusionH="381000" prstMaterial="matte"/>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z="-400500" extrusionH="63500" prstMaterial="matte"/>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z="57150" extrusionH="12700" prstMaterial="flat">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extrusionH="12700" prstMaterial="flat">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dgm:scene3d>
    <dgm:sp3d z="-63500" extrusionH="63500" prstMaterial="matte"/>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z="5715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dgm:style>
  </dgm:styleLbl>
  <dgm:styleLbl name="bgAccFollowNode1">
    <dgm:scene3d>
      <a:camera prst="orthographicFront"/>
      <a:lightRig rig="threePt" dir="t"/>
    </dgm:scene3d>
    <dgm:sp3d z="-400500" extrusionH="63500" contourW="12700" prstMaterial="matte">
      <a:contourClr>
        <a:schemeClr val="lt1"/>
      </a:contourClr>
    </dgm:sp3d>
    <dgm:txPr/>
    <dgm:style>
      <a:lnRef idx="0">
        <a:scrgbClr r="0" g="0" b="0"/>
      </a:lnRef>
      <a:fillRef idx="1">
        <a:scrgbClr r="0" g="0" b="0"/>
      </a:fillRef>
      <a:effectRef idx="2">
        <a:scrgbClr r="0" g="0" b="0"/>
      </a:effectRef>
      <a:fontRef idx="minor"/>
    </dgm:style>
  </dgm:styleLbl>
  <dgm:styleLbl name="fgAcc0">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400500" extrusionH="63500" contourW="12700" prstMaterial="matte">
      <a:contourClr>
        <a:schemeClr val="lt1">
          <a:tint val="50000"/>
        </a:schemeClr>
      </a:contourClr>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trBgShp">
    <dgm:scene3d>
      <a:camera prst="orthographicFront"/>
      <a:lightRig rig="threePt" dir="t"/>
    </dgm:scene3d>
    <dgm:sp3d z="-4005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7150" extrusionH="63500" contourW="12700" prstMaterial="matte">
      <a:contourClr>
        <a:schemeClr val="lt1">
          <a:tint val="50000"/>
        </a:schemeClr>
      </a:contourClr>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1E0B1-D96F-445A-BAD5-BC348B771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2132</TotalTime>
  <Pages>71</Pages>
  <Words>17827</Words>
  <Characters>96269</Characters>
  <Application>Microsoft Office Word</Application>
  <DocSecurity>0</DocSecurity>
  <Lines>802</Lines>
  <Paragraphs>227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c:creator>
  <cp:lastModifiedBy>ΓΙΩΤΙΤΣΑ ΕΛΕΝΑ</cp:lastModifiedBy>
  <cp:revision>502</cp:revision>
  <dcterms:created xsi:type="dcterms:W3CDTF">2017-07-09T11:13:00Z</dcterms:created>
  <dcterms:modified xsi:type="dcterms:W3CDTF">2017-09-18T06:22:00Z</dcterms:modified>
  <dc:language>en-US</dc:language>
</cp:coreProperties>
</file>